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3ED" w:rsidRDefault="00D66377">
      <w:pPr>
        <w:pStyle w:val="NormalWeb"/>
        <w:jc w:val="center"/>
        <w:rPr>
          <w:rFonts w:ascii="Arial" w:hAnsi="Arial" w:cs="Arial"/>
          <w:sz w:val="28"/>
        </w:rPr>
      </w:pPr>
      <w:bookmarkStart w:id="0" w:name="_GoBack"/>
      <w:bookmarkEnd w:id="0"/>
      <w:r>
        <w:rPr>
          <w:rFonts w:ascii="Arial" w:hAnsi="Arial" w:cs="Arial"/>
          <w:noProof/>
          <w:sz w:val="28"/>
        </w:rPr>
        <w:drawing>
          <wp:inline distT="0" distB="0" distL="0" distR="0">
            <wp:extent cx="1165860" cy="542925"/>
            <wp:effectExtent l="0" t="0" r="0" b="9525"/>
            <wp:docPr id="1" name="Picture 1" descr="teb-yeni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b-yeni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5860" cy="542925"/>
                    </a:xfrm>
                    <a:prstGeom prst="rect">
                      <a:avLst/>
                    </a:prstGeom>
                    <a:noFill/>
                    <a:ln>
                      <a:noFill/>
                    </a:ln>
                  </pic:spPr>
                </pic:pic>
              </a:graphicData>
            </a:graphic>
          </wp:inline>
        </w:drawing>
      </w:r>
    </w:p>
    <w:p w:rsidR="00FE73ED" w:rsidRDefault="00FE73ED">
      <w:pPr>
        <w:pStyle w:val="NormalWeb"/>
        <w:jc w:val="center"/>
        <w:rPr>
          <w:rFonts w:ascii="Arial" w:hAnsi="Arial" w:cs="Arial"/>
          <w:sz w:val="28"/>
        </w:rPr>
      </w:pPr>
    </w:p>
    <w:p w:rsidR="00FE73ED" w:rsidRDefault="00D66377">
      <w:pPr>
        <w:pStyle w:val="Heading1"/>
        <w:rPr>
          <w:rFonts w:ascii="Arial" w:hAnsi="Arial" w:cs="Arial"/>
          <w:sz w:val="52"/>
        </w:rPr>
      </w:pPr>
      <w:r>
        <w:rPr>
          <w:rFonts w:ascii="Arial" w:hAnsi="Arial" w:cs="Arial"/>
          <w:sz w:val="52"/>
        </w:rPr>
        <w:t>Konut kredisinde TEB atağa kalktı  faiz oranı yüzde 1.15’e düştü</w:t>
      </w:r>
    </w:p>
    <w:p w:rsidR="00FE73ED" w:rsidRDefault="00FE73ED">
      <w:pPr>
        <w:pStyle w:val="NormalWeb"/>
        <w:spacing w:before="0" w:beforeAutospacing="0" w:after="0" w:afterAutospacing="0"/>
        <w:rPr>
          <w:rFonts w:ascii="Arial" w:eastAsia="Times New Roman" w:hAnsi="Arial" w:cs="Arial"/>
          <w:color w:val="000000"/>
          <w:lang w:eastAsia="en-US"/>
        </w:rPr>
      </w:pPr>
    </w:p>
    <w:p w:rsidR="00FE73ED" w:rsidRDefault="00FE73ED">
      <w:pPr>
        <w:jc w:val="center"/>
        <w:rPr>
          <w:rFonts w:ascii="Arial" w:hAnsi="Arial" w:cs="Arial"/>
          <w:color w:val="000000"/>
          <w:sz w:val="28"/>
          <w:lang w:val="tr-TR"/>
        </w:rPr>
      </w:pPr>
    </w:p>
    <w:p w:rsidR="00FE73ED" w:rsidRDefault="00D66377">
      <w:pPr>
        <w:pStyle w:val="NormalWeb"/>
        <w:spacing w:before="0" w:beforeAutospacing="0" w:after="0" w:afterAutospacing="0"/>
        <w:jc w:val="center"/>
        <w:rPr>
          <w:rFonts w:ascii="Arial" w:hAnsi="Arial" w:cs="Arial"/>
          <w:color w:val="000000"/>
          <w:sz w:val="28"/>
          <w:szCs w:val="20"/>
        </w:rPr>
      </w:pPr>
      <w:r>
        <w:rPr>
          <w:rFonts w:ascii="Arial" w:hAnsi="Arial" w:cs="Arial"/>
          <w:color w:val="000000"/>
          <w:sz w:val="28"/>
          <w:szCs w:val="20"/>
        </w:rPr>
        <w:t xml:space="preserve">Konut kredisi faiz indirim yarışında Türk Ekonomi Bankası, rakiplerini geride bıraktı.  </w:t>
      </w:r>
      <w:r>
        <w:rPr>
          <w:rStyle w:val="altsayfaaltbaslik"/>
          <w:rFonts w:ascii="Arial" w:hAnsi="Arial" w:cs="Arial"/>
          <w:color w:val="000000"/>
          <w:sz w:val="28"/>
        </w:rPr>
        <w:t xml:space="preserve">TEB, 10 yıl vadede aylık yüzde 1.19 olan konut kredisi faizi oranını, yüzde 1.15’e indirdi. </w:t>
      </w:r>
      <w:r>
        <w:rPr>
          <w:rFonts w:ascii="Arial" w:hAnsi="Arial" w:cs="Arial"/>
          <w:color w:val="000000"/>
          <w:sz w:val="28"/>
          <w:szCs w:val="20"/>
        </w:rPr>
        <w:t xml:space="preserve"> Konut sahibi olmak isteyen herkese cazip fiyat olanağı sunan TEB, bu yeni düzenlemeyle sektöründe en düşük faiz oranını sunan  banka oldu.</w:t>
      </w:r>
    </w:p>
    <w:p w:rsidR="00FE73ED" w:rsidRDefault="00FE73ED">
      <w:pPr>
        <w:pStyle w:val="NormalWeb"/>
        <w:spacing w:before="0" w:beforeAutospacing="0" w:after="0" w:afterAutospacing="0"/>
        <w:jc w:val="center"/>
        <w:rPr>
          <w:rFonts w:ascii="Arial" w:eastAsia="Times New Roman" w:hAnsi="Arial" w:cs="Arial"/>
          <w:color w:val="000000"/>
          <w:lang w:eastAsia="en-US"/>
        </w:rPr>
      </w:pPr>
    </w:p>
    <w:p w:rsidR="00FE73ED" w:rsidRDefault="00FE73ED">
      <w:pPr>
        <w:jc w:val="both"/>
        <w:rPr>
          <w:rFonts w:ascii="Arial" w:hAnsi="Arial" w:cs="Arial"/>
          <w:color w:val="000000"/>
          <w:sz w:val="28"/>
          <w:szCs w:val="18"/>
          <w:lang w:val="tr-TR"/>
        </w:rPr>
      </w:pPr>
    </w:p>
    <w:p w:rsidR="00FE73ED" w:rsidRDefault="00D66377">
      <w:pPr>
        <w:jc w:val="both"/>
        <w:rPr>
          <w:rFonts w:ascii="Arial" w:hAnsi="Arial" w:cs="Arial"/>
          <w:color w:val="000000"/>
          <w:sz w:val="22"/>
          <w:lang w:val="tr-TR"/>
        </w:rPr>
      </w:pPr>
      <w:r>
        <w:rPr>
          <w:rFonts w:ascii="Arial" w:hAnsi="Arial" w:cs="Arial"/>
          <w:color w:val="000000"/>
          <w:sz w:val="22"/>
          <w:lang w:val="tr-TR"/>
        </w:rPr>
        <w:t>Ekonomideki canlanmayla birlikte hareketlenen gayrimenkul sektörü, finans sektörünü de kredi oranlarında hızlı bir</w:t>
      </w:r>
      <w:r>
        <w:rPr>
          <w:rFonts w:ascii="Arial" w:hAnsi="Arial" w:cs="Arial"/>
          <w:color w:val="000000"/>
          <w:sz w:val="22"/>
          <w:lang w:val="tr-TR"/>
        </w:rPr>
        <w:t xml:space="preserve"> rekabete sürükledi. Bu yılın başında dünyanın yedinci, Euro bölgesinin ise en büyük bankası BNP Paribas ile birleşen  Türk Ekonomi Bankası  (TEB), bu alanda yaşanan rekabetin en önemli oyuncularından biri konumuna geldi. </w:t>
      </w:r>
    </w:p>
    <w:p w:rsidR="00FE73ED" w:rsidRDefault="00FE73ED">
      <w:pPr>
        <w:jc w:val="both"/>
        <w:rPr>
          <w:rFonts w:ascii="Arial" w:hAnsi="Arial" w:cs="Arial"/>
          <w:color w:val="000000"/>
          <w:szCs w:val="20"/>
          <w:lang w:val="tr-TR"/>
        </w:rPr>
      </w:pPr>
    </w:p>
    <w:p w:rsidR="00FE73ED" w:rsidRDefault="00D66377">
      <w:pPr>
        <w:jc w:val="both"/>
        <w:rPr>
          <w:rFonts w:ascii="Arial" w:hAnsi="Arial" w:cs="Arial"/>
          <w:color w:val="000000"/>
          <w:szCs w:val="20"/>
          <w:lang w:val="tr-TR"/>
        </w:rPr>
      </w:pPr>
      <w:r>
        <w:rPr>
          <w:rFonts w:ascii="Arial" w:hAnsi="Arial" w:cs="Arial"/>
          <w:color w:val="000000"/>
          <w:szCs w:val="20"/>
          <w:lang w:val="tr-TR"/>
        </w:rPr>
        <w:t xml:space="preserve">TEB, konut faiz yarışında </w:t>
      </w:r>
      <w:r>
        <w:rPr>
          <w:rFonts w:ascii="Arial" w:hAnsi="Arial" w:cs="Arial"/>
          <w:color w:val="000000"/>
          <w:szCs w:val="20"/>
          <w:lang w:val="tr-TR"/>
        </w:rPr>
        <w:t>rakiplerini geride bırakarak 36 aydan 120 aya kadar olan konut kredisi faiz oranını aylık yüzde 1.19’dan yüzde 1.15’e indirdi. 12 aydan 24 aya kadar olan konut kredisi faiz oranını da aylık yüzde 1,27’den yüzde 1.25’e düşüren TEB, bu yeni düzenlemeyle sekt</w:t>
      </w:r>
      <w:r>
        <w:rPr>
          <w:rFonts w:ascii="Arial" w:hAnsi="Arial" w:cs="Arial"/>
          <w:color w:val="000000"/>
          <w:szCs w:val="20"/>
          <w:lang w:val="tr-TR"/>
        </w:rPr>
        <w:t>örde en düşük faiz oranını sunan  banka oldu.</w:t>
      </w:r>
    </w:p>
    <w:p w:rsidR="00FE73ED" w:rsidRDefault="00FE73ED">
      <w:pPr>
        <w:jc w:val="both"/>
        <w:rPr>
          <w:rFonts w:ascii="Arial" w:hAnsi="Arial" w:cs="Arial"/>
          <w:color w:val="000000"/>
          <w:szCs w:val="20"/>
          <w:lang w:val="tr-TR"/>
        </w:rPr>
      </w:pPr>
    </w:p>
    <w:p w:rsidR="00FE73ED" w:rsidRDefault="00D66377">
      <w:pPr>
        <w:pStyle w:val="Heading3"/>
        <w:rPr>
          <w:color w:val="000000"/>
          <w:sz w:val="22"/>
          <w:szCs w:val="18"/>
          <w:lang w:val="tr-TR"/>
        </w:rPr>
      </w:pPr>
      <w:r>
        <w:t>Bireyseldeki atağımız sürecek</w:t>
      </w:r>
    </w:p>
    <w:p w:rsidR="00FE73ED" w:rsidRDefault="00FE73ED">
      <w:pPr>
        <w:jc w:val="both"/>
        <w:rPr>
          <w:rFonts w:ascii="Arial" w:hAnsi="Arial" w:cs="Arial"/>
          <w:color w:val="000000"/>
          <w:sz w:val="22"/>
          <w:szCs w:val="18"/>
          <w:lang w:val="tr-TR"/>
        </w:rPr>
      </w:pPr>
    </w:p>
    <w:p w:rsidR="00FE73ED" w:rsidRDefault="00D66377">
      <w:pPr>
        <w:jc w:val="both"/>
        <w:rPr>
          <w:rFonts w:ascii="Arial" w:hAnsi="Arial" w:cs="Arial"/>
          <w:color w:val="000000"/>
          <w:sz w:val="22"/>
          <w:szCs w:val="18"/>
          <w:lang w:val="tr-TR"/>
        </w:rPr>
      </w:pPr>
      <w:r>
        <w:rPr>
          <w:rFonts w:ascii="Arial" w:hAnsi="Arial" w:cs="Arial"/>
          <w:color w:val="000000"/>
          <w:sz w:val="22"/>
          <w:szCs w:val="18"/>
          <w:lang w:val="tr-TR"/>
        </w:rPr>
        <w:t>TEB Bireysel Bankacılıktan Sorumlu Genel Müdür Yardımcısı Cemal Kişmir, TEB olarak bireysel bankacılık alanında yoğun bir çalışma başlattıklarını belirterek, bireysel bankacılıkt</w:t>
      </w:r>
      <w:r>
        <w:rPr>
          <w:rFonts w:ascii="Arial" w:hAnsi="Arial" w:cs="Arial"/>
          <w:color w:val="000000"/>
          <w:sz w:val="22"/>
          <w:szCs w:val="18"/>
          <w:lang w:val="tr-TR"/>
        </w:rPr>
        <w:t xml:space="preserve">aki ataklarının devam edeceğini belirtti. </w:t>
      </w:r>
    </w:p>
    <w:p w:rsidR="00FE73ED" w:rsidRDefault="00FE73ED">
      <w:pPr>
        <w:jc w:val="both"/>
        <w:rPr>
          <w:rFonts w:ascii="Arial" w:hAnsi="Arial" w:cs="Arial"/>
          <w:color w:val="000000"/>
          <w:sz w:val="22"/>
          <w:szCs w:val="18"/>
          <w:lang w:val="tr-TR"/>
        </w:rPr>
      </w:pPr>
    </w:p>
    <w:p w:rsidR="00FE73ED" w:rsidRDefault="00D66377">
      <w:pPr>
        <w:jc w:val="both"/>
        <w:rPr>
          <w:rFonts w:ascii="Arial" w:hAnsi="Arial" w:cs="Arial"/>
          <w:color w:val="000000"/>
          <w:sz w:val="22"/>
          <w:szCs w:val="18"/>
          <w:lang w:val="tr-TR"/>
        </w:rPr>
      </w:pPr>
      <w:r>
        <w:rPr>
          <w:rFonts w:ascii="Arial" w:hAnsi="Arial" w:cs="Arial"/>
          <w:color w:val="000000"/>
          <w:sz w:val="22"/>
          <w:szCs w:val="18"/>
          <w:lang w:val="tr-TR"/>
        </w:rPr>
        <w:t xml:space="preserve">Artan konut talebi ile birlikte konut kredisi kullanımının da hızlı bir şekilde arttığına dikkat çeken Cemal Kişmir “Biz de müşterilerimizin beklentilerini en iyi şekilde karşılayabilmek ve konut kredisi alırken </w:t>
      </w:r>
      <w:r>
        <w:rPr>
          <w:rFonts w:ascii="Arial" w:hAnsi="Arial" w:cs="Arial"/>
          <w:color w:val="000000"/>
          <w:sz w:val="22"/>
          <w:szCs w:val="18"/>
          <w:lang w:val="tr-TR"/>
        </w:rPr>
        <w:t>daha iyi şartlar sunabilmek amacıyla 120 aya kadar olan vadede faiz oranımızı yüzde 1.15’e düşürdük.” diye konuştu.</w:t>
      </w:r>
    </w:p>
    <w:p w:rsidR="00FE73ED" w:rsidRDefault="00FE73ED">
      <w:pPr>
        <w:jc w:val="both"/>
        <w:rPr>
          <w:rFonts w:ascii="Arial" w:hAnsi="Arial" w:cs="Arial"/>
          <w:color w:val="000000"/>
          <w:sz w:val="22"/>
          <w:szCs w:val="18"/>
          <w:lang w:val="tr-TR"/>
        </w:rPr>
      </w:pPr>
    </w:p>
    <w:p w:rsidR="00FE73ED" w:rsidRDefault="00D66377">
      <w:pPr>
        <w:jc w:val="both"/>
        <w:rPr>
          <w:rFonts w:ascii="Arial" w:hAnsi="Arial" w:cs="Arial"/>
          <w:color w:val="000000"/>
          <w:sz w:val="22"/>
          <w:szCs w:val="18"/>
          <w:lang w:val="tr-TR"/>
        </w:rPr>
      </w:pPr>
      <w:r>
        <w:rPr>
          <w:rFonts w:ascii="Arial" w:hAnsi="Arial" w:cs="Arial"/>
          <w:color w:val="000000"/>
          <w:sz w:val="22"/>
          <w:szCs w:val="18"/>
          <w:lang w:val="tr-TR"/>
        </w:rPr>
        <w:t xml:space="preserve">Cemal Kişmir,  bireysel bankacılıktaki ataklarını TEB’in kurumsal yapısına uygun olarak istikrarlı bir şekilde sürdürdüklerini belirterek, </w:t>
      </w:r>
      <w:r>
        <w:rPr>
          <w:rFonts w:ascii="Arial" w:hAnsi="Arial" w:cs="Arial"/>
          <w:color w:val="000000"/>
          <w:sz w:val="22"/>
          <w:szCs w:val="18"/>
          <w:lang w:val="tr-TR"/>
        </w:rPr>
        <w:t>“Bugüne kadar verdiğimiz kaliteli hizmeti sürdürerek, önümüzdeki dönemde bireysel pazardaki payımızı artırmayı hedefliyoruz” dedi.</w:t>
      </w:r>
    </w:p>
    <w:p w:rsidR="00FE73ED" w:rsidRDefault="00FE73ED">
      <w:pPr>
        <w:jc w:val="both"/>
        <w:rPr>
          <w:rFonts w:ascii="Arial" w:hAnsi="Arial" w:cs="Arial"/>
          <w:b/>
          <w:bCs/>
          <w:color w:val="000000"/>
          <w:sz w:val="22"/>
          <w:lang w:val="tr-TR"/>
        </w:rPr>
      </w:pPr>
    </w:p>
    <w:p w:rsidR="00FE73ED" w:rsidRDefault="00D66377">
      <w:pPr>
        <w:jc w:val="both"/>
        <w:rPr>
          <w:rFonts w:ascii="Arial" w:hAnsi="Arial" w:cs="Arial"/>
          <w:color w:val="000000"/>
          <w:sz w:val="22"/>
          <w:szCs w:val="18"/>
          <w:lang w:val="tr-TR"/>
        </w:rPr>
      </w:pPr>
      <w:r>
        <w:rPr>
          <w:rFonts w:ascii="Arial" w:hAnsi="Arial" w:cs="Arial"/>
          <w:b/>
          <w:bCs/>
          <w:color w:val="000000"/>
          <w:sz w:val="22"/>
          <w:lang w:val="tr-TR"/>
        </w:rPr>
        <w:t>50 milyar kredinin aylık ödemesi 791</w:t>
      </w:r>
      <w:r>
        <w:rPr>
          <w:rFonts w:ascii="Arial" w:hAnsi="Arial" w:cs="Arial"/>
          <w:b/>
          <w:bCs/>
          <w:color w:val="FF0000"/>
          <w:sz w:val="22"/>
          <w:lang w:val="tr-TR"/>
        </w:rPr>
        <w:t xml:space="preserve"> </w:t>
      </w:r>
      <w:r>
        <w:rPr>
          <w:rFonts w:ascii="Arial" w:hAnsi="Arial" w:cs="Arial"/>
          <w:b/>
          <w:bCs/>
          <w:color w:val="000000"/>
          <w:sz w:val="22"/>
          <w:lang w:val="tr-TR"/>
        </w:rPr>
        <w:t xml:space="preserve">YTL </w:t>
      </w:r>
    </w:p>
    <w:p w:rsidR="00FE73ED" w:rsidRDefault="00D66377">
      <w:pPr>
        <w:jc w:val="both"/>
        <w:rPr>
          <w:rFonts w:ascii="Arial" w:hAnsi="Arial" w:cs="Arial"/>
          <w:color w:val="000000"/>
          <w:sz w:val="22"/>
          <w:lang w:val="tr-TR"/>
        </w:rPr>
      </w:pPr>
      <w:r>
        <w:rPr>
          <w:rFonts w:ascii="Arial" w:hAnsi="Arial" w:cs="Arial"/>
          <w:color w:val="000000"/>
          <w:sz w:val="22"/>
          <w:lang w:val="tr-TR"/>
        </w:rPr>
        <w:t>K</w:t>
      </w:r>
      <w:r>
        <w:rPr>
          <w:rFonts w:ascii="Arial" w:hAnsi="Arial" w:cs="Arial"/>
          <w:color w:val="000000"/>
          <w:szCs w:val="20"/>
          <w:lang w:val="tr-TR"/>
        </w:rPr>
        <w:t>onut sahibi olmak isteyen herkes için yepyeni bir dönem başlatan TEB’den, b</w:t>
      </w:r>
      <w:r>
        <w:rPr>
          <w:rFonts w:ascii="Arial" w:hAnsi="Arial" w:cs="Arial"/>
          <w:color w:val="000000"/>
          <w:sz w:val="22"/>
          <w:lang w:val="tr-TR"/>
        </w:rPr>
        <w:t>u faiz</w:t>
      </w:r>
      <w:r>
        <w:rPr>
          <w:rFonts w:ascii="Arial" w:hAnsi="Arial" w:cs="Arial"/>
          <w:color w:val="000000"/>
          <w:sz w:val="22"/>
          <w:lang w:val="tr-TR"/>
        </w:rPr>
        <w:t xml:space="preserve"> oranıyla 50 milyar TL (50 bin YTL) konut kredisi alan bir tüketici 120 aylık vadede ayda 791 YTL ödeme yapacak. Vadenin 60 ay olması halinde ise ödeme aylık </w:t>
      </w:r>
      <w:r>
        <w:rPr>
          <w:rFonts w:ascii="Arial" w:hAnsi="Arial" w:cs="Arial"/>
          <w:sz w:val="22"/>
          <w:lang w:val="tr-TR"/>
        </w:rPr>
        <w:t>1,176</w:t>
      </w:r>
      <w:r>
        <w:rPr>
          <w:rFonts w:ascii="Arial" w:hAnsi="Arial" w:cs="Arial"/>
          <w:b/>
          <w:bCs/>
          <w:sz w:val="22"/>
          <w:lang w:val="tr-TR"/>
        </w:rPr>
        <w:t xml:space="preserve"> </w:t>
      </w:r>
      <w:r>
        <w:rPr>
          <w:rFonts w:ascii="Arial" w:hAnsi="Arial" w:cs="Arial"/>
          <w:color w:val="000000"/>
          <w:sz w:val="22"/>
          <w:lang w:val="tr-TR"/>
        </w:rPr>
        <w:t>YTL olacak</w:t>
      </w:r>
    </w:p>
    <w:p w:rsidR="00FE73ED" w:rsidRDefault="00D66377">
      <w:pPr>
        <w:jc w:val="both"/>
        <w:rPr>
          <w:rFonts w:ascii="Arial" w:hAnsi="Arial" w:cs="Arial"/>
          <w:color w:val="000000"/>
          <w:sz w:val="22"/>
          <w:lang w:val="tr-TR"/>
        </w:rPr>
      </w:pPr>
      <w:r>
        <w:rPr>
          <w:rFonts w:ascii="Arial" w:hAnsi="Arial" w:cs="Arial"/>
          <w:color w:val="000000"/>
          <w:sz w:val="22"/>
          <w:lang w:val="tr-TR"/>
        </w:rPr>
        <w:t xml:space="preserve">100 milyar TL (100 bin YTL) konut kredisi alan bir tüketici ise 120 aylık vadede </w:t>
      </w:r>
      <w:r>
        <w:rPr>
          <w:rFonts w:ascii="Arial" w:hAnsi="Arial" w:cs="Arial"/>
          <w:color w:val="000000"/>
          <w:sz w:val="22"/>
          <w:lang w:val="tr-TR"/>
        </w:rPr>
        <w:t>ayda 1,582 YTL ödeme yapacak. Vadenin 60 ay olması halinde ise ödeme aylık 2,352 YTL olacak.</w:t>
      </w:r>
    </w:p>
    <w:p w:rsidR="00FE73ED" w:rsidRDefault="00FE73ED">
      <w:pPr>
        <w:jc w:val="both"/>
        <w:rPr>
          <w:rFonts w:ascii="Arial" w:hAnsi="Arial" w:cs="Arial"/>
          <w:b/>
          <w:bCs/>
          <w:color w:val="000000"/>
          <w:sz w:val="22"/>
          <w:lang w:val="tr-TR"/>
        </w:rPr>
      </w:pPr>
    </w:p>
    <w:p w:rsidR="00FE73ED" w:rsidRDefault="00D66377">
      <w:pPr>
        <w:jc w:val="both"/>
        <w:rPr>
          <w:rFonts w:ascii="Arial" w:hAnsi="Arial" w:cs="Arial"/>
          <w:color w:val="000000"/>
          <w:sz w:val="22"/>
          <w:szCs w:val="18"/>
          <w:lang w:val="tr-TR"/>
        </w:rPr>
      </w:pPr>
      <w:r>
        <w:rPr>
          <w:rFonts w:ascii="Arial" w:hAnsi="Arial" w:cs="Arial"/>
          <w:color w:val="000000"/>
          <w:sz w:val="22"/>
          <w:szCs w:val="18"/>
          <w:lang w:val="tr-TR"/>
        </w:rPr>
        <w:lastRenderedPageBreak/>
        <w:t>Uyguladığı yüzde 1.15 faiz oranıyla, daha fazla tüketiciyi ev sahibi yapmayı hedefleyen TEB, konut kredisi almak isteyenlere 3 aydan 120 aya kadar vade seçenekler</w:t>
      </w:r>
      <w:r>
        <w:rPr>
          <w:rFonts w:ascii="Arial" w:hAnsi="Arial" w:cs="Arial"/>
          <w:color w:val="000000"/>
          <w:sz w:val="22"/>
          <w:szCs w:val="18"/>
          <w:lang w:val="tr-TR"/>
        </w:rPr>
        <w:t>i sunuyor ve kredi için başvurulan konutun ekspertiz değerinin yüzde 75’ini kredi olarak veriyor.</w:t>
      </w:r>
    </w:p>
    <w:p w:rsidR="00FE73ED" w:rsidRDefault="00FE73ED">
      <w:pPr>
        <w:jc w:val="both"/>
        <w:rPr>
          <w:rFonts w:ascii="Arial" w:hAnsi="Arial" w:cs="Arial"/>
          <w:color w:val="000000"/>
          <w:sz w:val="22"/>
          <w:szCs w:val="18"/>
          <w:lang w:val="tr-TR"/>
        </w:rPr>
      </w:pPr>
    </w:p>
    <w:p w:rsidR="00FE73ED" w:rsidRDefault="00FE73ED">
      <w:pPr>
        <w:rPr>
          <w:rFonts w:ascii="Arial" w:hAnsi="Arial" w:cs="Arial"/>
          <w:color w:val="000000"/>
          <w:sz w:val="22"/>
          <w:lang w:val="tr-TR"/>
        </w:rPr>
      </w:pPr>
    </w:p>
    <w:p w:rsidR="00FE73ED" w:rsidRDefault="00FE73ED">
      <w:pPr>
        <w:rPr>
          <w:rFonts w:ascii="Arial" w:hAnsi="Arial" w:cs="Arial"/>
          <w:color w:val="000000"/>
          <w:lang w:val="tr-TR"/>
        </w:rPr>
      </w:pPr>
    </w:p>
    <w:p w:rsidR="00FE73ED" w:rsidRDefault="00D66377">
      <w:pPr>
        <w:rPr>
          <w:rFonts w:ascii="Arial" w:hAnsi="Arial" w:cs="Arial"/>
          <w:b/>
          <w:bCs/>
          <w:color w:val="000000"/>
          <w:u w:val="single"/>
          <w:lang w:val="tr-TR"/>
        </w:rPr>
      </w:pPr>
      <w:r>
        <w:rPr>
          <w:rFonts w:ascii="Arial" w:hAnsi="Arial" w:cs="Arial"/>
          <w:b/>
          <w:bCs/>
          <w:color w:val="000000"/>
          <w:szCs w:val="20"/>
          <w:u w:val="single"/>
          <w:lang w:val="tr-TR"/>
        </w:rPr>
        <w:t xml:space="preserve">TEB’in konut kredisi faiz oranları </w:t>
      </w:r>
      <w:r>
        <w:rPr>
          <w:rFonts w:ascii="Arial" w:hAnsi="Arial" w:cs="Arial"/>
          <w:b/>
          <w:bCs/>
          <w:color w:val="000000"/>
          <w:u w:val="single"/>
          <w:lang w:val="tr-TR"/>
        </w:rPr>
        <w:t xml:space="preserve"> (*)</w:t>
      </w:r>
    </w:p>
    <w:p w:rsidR="00FE73ED" w:rsidRDefault="00FE73ED">
      <w:pPr>
        <w:rPr>
          <w:rFonts w:ascii="Arial" w:hAnsi="Arial" w:cs="Arial"/>
          <w:b/>
          <w:bCs/>
          <w:color w:val="000000"/>
          <w:u w:val="single"/>
          <w:lang w:val="tr-TR"/>
        </w:rPr>
      </w:pPr>
    </w:p>
    <w:tbl>
      <w:tblPr>
        <w:tblW w:w="5620" w:type="dxa"/>
        <w:tblCellMar>
          <w:left w:w="0" w:type="dxa"/>
          <w:right w:w="0" w:type="dxa"/>
        </w:tblCellMar>
        <w:tblLook w:val="0000" w:firstRow="0" w:lastRow="0" w:firstColumn="0" w:lastColumn="0" w:noHBand="0" w:noVBand="0"/>
      </w:tblPr>
      <w:tblGrid>
        <w:gridCol w:w="1200"/>
        <w:gridCol w:w="2200"/>
        <w:gridCol w:w="2220"/>
      </w:tblGrid>
      <w:tr w:rsidR="00FE73ED">
        <w:trPr>
          <w:trHeight w:val="315"/>
        </w:trPr>
        <w:tc>
          <w:tcPr>
            <w:tcW w:w="1200" w:type="dxa"/>
            <w:tcBorders>
              <w:top w:val="single" w:sz="4" w:space="0" w:color="auto"/>
              <w:left w:val="single" w:sz="4" w:space="0" w:color="auto"/>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b/>
                <w:bCs/>
                <w:color w:val="000000"/>
              </w:rPr>
            </w:pPr>
            <w:r>
              <w:rPr>
                <w:rFonts w:ascii="Arial" w:hAnsi="Arial" w:cs="Arial"/>
                <w:b/>
                <w:bCs/>
                <w:color w:val="000000"/>
                <w:szCs w:val="20"/>
              </w:rPr>
              <w:t>Vade (ay)</w:t>
            </w:r>
          </w:p>
        </w:tc>
        <w:tc>
          <w:tcPr>
            <w:tcW w:w="2200" w:type="dxa"/>
            <w:tcBorders>
              <w:top w:val="single" w:sz="4" w:space="0" w:color="auto"/>
              <w:left w:val="nil"/>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b/>
                <w:bCs/>
                <w:color w:val="000000"/>
              </w:rPr>
            </w:pPr>
            <w:r>
              <w:rPr>
                <w:rFonts w:ascii="Arial" w:hAnsi="Arial" w:cs="Arial"/>
                <w:b/>
                <w:bCs/>
                <w:color w:val="000000"/>
              </w:rPr>
              <w:t xml:space="preserve">YTL/ay (eski </w:t>
            </w:r>
            <w:smartTag w:uri="urn:schemas-microsoft-com:office:smarttags" w:element="City">
              <w:smartTag w:uri="urn:schemas-microsoft-com:office:smarttags" w:element="place">
                <w:r>
                  <w:rPr>
                    <w:rFonts w:ascii="Arial" w:hAnsi="Arial" w:cs="Arial"/>
                    <w:b/>
                    <w:bCs/>
                    <w:color w:val="000000"/>
                  </w:rPr>
                  <w:t>oran</w:t>
                </w:r>
              </w:smartTag>
            </w:smartTag>
            <w:r>
              <w:rPr>
                <w:rFonts w:ascii="Arial" w:hAnsi="Arial" w:cs="Arial"/>
                <w:b/>
                <w:bCs/>
                <w:color w:val="000000"/>
              </w:rPr>
              <w:t>)</w:t>
            </w:r>
          </w:p>
        </w:tc>
        <w:tc>
          <w:tcPr>
            <w:tcW w:w="2220" w:type="dxa"/>
            <w:tcBorders>
              <w:top w:val="single" w:sz="4" w:space="0" w:color="auto"/>
              <w:left w:val="nil"/>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b/>
                <w:bCs/>
                <w:color w:val="000000"/>
              </w:rPr>
            </w:pPr>
            <w:r>
              <w:rPr>
                <w:rFonts w:ascii="Arial" w:hAnsi="Arial" w:cs="Arial"/>
                <w:b/>
                <w:bCs/>
                <w:color w:val="000000"/>
              </w:rPr>
              <w:t xml:space="preserve">YTL/ay (yeni </w:t>
            </w:r>
            <w:smartTag w:uri="urn:schemas-microsoft-com:office:smarttags" w:element="City">
              <w:smartTag w:uri="urn:schemas-microsoft-com:office:smarttags" w:element="place">
                <w:r>
                  <w:rPr>
                    <w:rFonts w:ascii="Arial" w:hAnsi="Arial" w:cs="Arial"/>
                    <w:b/>
                    <w:bCs/>
                    <w:color w:val="000000"/>
                  </w:rPr>
                  <w:t>oran</w:t>
                </w:r>
              </w:smartTag>
            </w:smartTag>
            <w:r>
              <w:rPr>
                <w:rFonts w:ascii="Arial" w:hAnsi="Arial" w:cs="Arial"/>
                <w:b/>
                <w:bCs/>
                <w:color w:val="000000"/>
              </w:rPr>
              <w:t>)</w:t>
            </w:r>
          </w:p>
        </w:tc>
      </w:tr>
      <w:tr w:rsidR="00FE73ED">
        <w:trPr>
          <w:trHeight w:val="300"/>
        </w:trPr>
        <w:tc>
          <w:tcPr>
            <w:tcW w:w="0" w:type="auto"/>
            <w:tcBorders>
              <w:top w:val="nil"/>
              <w:left w:val="single" w:sz="4" w:space="0" w:color="auto"/>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color w:val="000000"/>
              </w:rPr>
            </w:pPr>
            <w:r>
              <w:rPr>
                <w:rFonts w:ascii="Arial" w:hAnsi="Arial" w:cs="Arial"/>
                <w:color w:val="000000"/>
                <w:szCs w:val="20"/>
              </w:rPr>
              <w:t>12-24</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color w:val="000000"/>
              </w:rPr>
            </w:pPr>
            <w:r>
              <w:rPr>
                <w:rFonts w:ascii="Arial" w:hAnsi="Arial" w:cs="Arial"/>
                <w:color w:val="000000"/>
              </w:rPr>
              <w:t> 1.27 %</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color w:val="000000"/>
              </w:rPr>
            </w:pPr>
            <w:r>
              <w:rPr>
                <w:rFonts w:ascii="Arial" w:hAnsi="Arial" w:cs="Arial"/>
                <w:color w:val="000000"/>
              </w:rPr>
              <w:t>1.25 %  </w:t>
            </w:r>
          </w:p>
        </w:tc>
      </w:tr>
      <w:tr w:rsidR="00FE73ED">
        <w:trPr>
          <w:trHeight w:val="300"/>
        </w:trPr>
        <w:tc>
          <w:tcPr>
            <w:tcW w:w="0" w:type="auto"/>
            <w:tcBorders>
              <w:top w:val="nil"/>
              <w:left w:val="single" w:sz="4" w:space="0" w:color="auto"/>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color w:val="000000"/>
              </w:rPr>
            </w:pPr>
            <w:r>
              <w:rPr>
                <w:rFonts w:ascii="Arial" w:hAnsi="Arial" w:cs="Arial"/>
                <w:color w:val="000000"/>
                <w:szCs w:val="20"/>
              </w:rPr>
              <w:t>36 -120</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color w:val="000000"/>
              </w:rPr>
            </w:pPr>
            <w:r>
              <w:rPr>
                <w:rFonts w:ascii="Arial" w:hAnsi="Arial" w:cs="Arial"/>
                <w:color w:val="000000"/>
              </w:rPr>
              <w:t> 1.19 %</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FE73ED" w:rsidRDefault="00D66377">
            <w:pPr>
              <w:rPr>
                <w:rFonts w:ascii="Arial" w:eastAsia="Arial Unicode MS" w:hAnsi="Arial" w:cs="Arial"/>
                <w:color w:val="000000"/>
              </w:rPr>
            </w:pPr>
            <w:r>
              <w:rPr>
                <w:rFonts w:ascii="Arial" w:hAnsi="Arial" w:cs="Arial"/>
                <w:color w:val="000000"/>
              </w:rPr>
              <w:t>1.15 %  </w:t>
            </w:r>
          </w:p>
        </w:tc>
      </w:tr>
    </w:tbl>
    <w:p w:rsidR="00FE73ED" w:rsidRDefault="00FE73ED">
      <w:pPr>
        <w:rPr>
          <w:rFonts w:ascii="Arial" w:hAnsi="Arial" w:cs="Arial"/>
          <w:color w:val="000000"/>
          <w:sz w:val="22"/>
          <w:lang w:val="tr-TR"/>
        </w:rPr>
      </w:pPr>
    </w:p>
    <w:p w:rsidR="00FE73ED" w:rsidRDefault="00FE73ED">
      <w:pPr>
        <w:rPr>
          <w:rFonts w:ascii="Arial" w:hAnsi="Arial" w:cs="Arial"/>
          <w:color w:val="000000"/>
          <w:sz w:val="22"/>
          <w:lang w:val="tr-TR"/>
        </w:rPr>
      </w:pPr>
    </w:p>
    <w:p w:rsidR="00FE73ED" w:rsidRDefault="00FE73ED">
      <w:pPr>
        <w:rPr>
          <w:rFonts w:ascii="Arial" w:hAnsi="Arial" w:cs="Arial"/>
          <w:color w:val="000000"/>
          <w:sz w:val="22"/>
          <w:lang w:val="tr-TR"/>
        </w:rPr>
      </w:pPr>
    </w:p>
    <w:p w:rsidR="00FE73ED" w:rsidRDefault="00D66377">
      <w:pPr>
        <w:rPr>
          <w:rFonts w:ascii="Arial" w:hAnsi="Arial" w:cs="Arial"/>
          <w:color w:val="000000"/>
          <w:sz w:val="22"/>
          <w:lang w:val="tr-TR"/>
        </w:rPr>
      </w:pPr>
      <w:r>
        <w:rPr>
          <w:rFonts w:ascii="Arial" w:eastAsia="Arial Unicode MS" w:hAnsi="Arial" w:cs="Arial"/>
          <w:color w:val="000000"/>
          <w:sz w:val="20"/>
          <w:szCs w:val="20"/>
          <w:lang w:val="tr-TR"/>
        </w:rPr>
        <w:t xml:space="preserve">(*) TEB’in konut kredilerine uyguladığı bireysel kredi faiz oranları </w:t>
      </w:r>
      <w:r>
        <w:rPr>
          <w:rStyle w:val="Strong"/>
          <w:rFonts w:ascii="Arial" w:eastAsia="Arial Unicode MS" w:hAnsi="Arial" w:cs="Arial"/>
          <w:b w:val="0"/>
          <w:bCs w:val="0"/>
          <w:lang w:val="tr-TR"/>
        </w:rPr>
        <w:t>24/11/2005</w:t>
      </w:r>
      <w:r>
        <w:rPr>
          <w:rFonts w:ascii="Arial" w:eastAsia="Arial Unicode MS" w:hAnsi="Arial" w:cs="Arial"/>
          <w:color w:val="FF0000"/>
          <w:sz w:val="20"/>
          <w:szCs w:val="20"/>
          <w:lang w:val="tr-TR"/>
        </w:rPr>
        <w:t> </w:t>
      </w:r>
      <w:r>
        <w:rPr>
          <w:rFonts w:ascii="Arial" w:eastAsia="Arial Unicode MS" w:hAnsi="Arial" w:cs="Arial"/>
          <w:color w:val="000000"/>
          <w:sz w:val="20"/>
          <w:szCs w:val="20"/>
          <w:lang w:val="tr-TR"/>
        </w:rPr>
        <w:t xml:space="preserve"> tarihinden itibaren geçerli olmak üzere yeniden düzenlendi. </w:t>
      </w:r>
    </w:p>
    <w:p w:rsidR="00FE73ED" w:rsidRDefault="00FE73ED">
      <w:pPr>
        <w:rPr>
          <w:rFonts w:ascii="Arial" w:hAnsi="Arial" w:cs="Arial"/>
          <w:color w:val="000000"/>
          <w:sz w:val="22"/>
          <w:lang w:val="tr-TR"/>
        </w:rPr>
      </w:pPr>
    </w:p>
    <w:p w:rsidR="00FE73ED" w:rsidRDefault="00D66377">
      <w:pPr>
        <w:rPr>
          <w:rFonts w:ascii="Arial" w:hAnsi="Arial" w:cs="Arial"/>
          <w:color w:val="000000"/>
          <w:lang w:val="tr-TR"/>
        </w:rPr>
      </w:pPr>
      <w:r>
        <w:rPr>
          <w:rFonts w:ascii="Arial" w:hAnsi="Arial" w:cs="Arial"/>
          <w:color w:val="000000"/>
          <w:lang w:val="tr-TR"/>
        </w:rPr>
        <w:tab/>
      </w:r>
    </w:p>
    <w:p w:rsidR="00FE73ED" w:rsidRDefault="00D66377">
      <w:pPr>
        <w:jc w:val="both"/>
        <w:rPr>
          <w:rFonts w:ascii="Arial" w:hAnsi="Arial" w:cs="Arial"/>
          <w:color w:val="000000"/>
          <w:sz w:val="20"/>
          <w:lang w:val="de-DE"/>
        </w:rPr>
      </w:pPr>
      <w:r>
        <w:rPr>
          <w:rFonts w:ascii="Arial" w:hAnsi="Arial" w:cs="Arial"/>
          <w:color w:val="000000"/>
          <w:sz w:val="20"/>
          <w:lang w:val="de-DE"/>
        </w:rPr>
        <w:t xml:space="preserve"> </w:t>
      </w:r>
    </w:p>
    <w:p w:rsidR="00FE73ED" w:rsidRDefault="00FE73ED">
      <w:pPr>
        <w:rPr>
          <w:rFonts w:ascii="Arial" w:hAnsi="Arial" w:cs="Arial"/>
          <w:color w:val="000000"/>
          <w:sz w:val="20"/>
          <w:lang w:val="de-DE"/>
        </w:rPr>
      </w:pPr>
    </w:p>
    <w:p w:rsidR="00FE73ED" w:rsidRDefault="00FE73ED">
      <w:pPr>
        <w:pStyle w:val="BodyText"/>
        <w:jc w:val="left"/>
        <w:rPr>
          <w:rFonts w:ascii="Arial" w:hAnsi="Arial" w:cs="Arial"/>
          <w:color w:val="000000"/>
          <w:sz w:val="20"/>
          <w:lang w:val="tr-TR"/>
        </w:rPr>
      </w:pPr>
    </w:p>
    <w:p w:rsidR="00FE73ED" w:rsidRDefault="00FE73ED">
      <w:pPr>
        <w:pStyle w:val="BodyText"/>
        <w:jc w:val="left"/>
        <w:rPr>
          <w:rFonts w:ascii="Arial" w:hAnsi="Arial" w:cs="Arial"/>
          <w:sz w:val="20"/>
          <w:lang w:val="tr-TR"/>
        </w:rPr>
      </w:pPr>
    </w:p>
    <w:sectPr w:rsidR="00FE73ED">
      <w:pgSz w:w="11906" w:h="16838" w:code="9"/>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Times New Roman TUR">
    <w:panose1 w:val="02020603050405020304"/>
    <w:charset w:val="A2"/>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BFB"/>
    <w:rsid w:val="00AB05B7"/>
    <w:rsid w:val="00BA7BFB"/>
    <w:rsid w:val="00D66377"/>
    <w:rsid w:val="00FE73E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paragraph" w:styleId="Heading2">
    <w:name w:val="heading 2"/>
    <w:basedOn w:val="Normal"/>
    <w:next w:val="Normal"/>
    <w:qFormat/>
    <w:pPr>
      <w:keepNext/>
      <w:jc w:val="center"/>
      <w:outlineLvl w:val="1"/>
    </w:pPr>
    <w:rPr>
      <w:sz w:val="52"/>
      <w:lang w:val="tr-TR"/>
    </w:rPr>
  </w:style>
  <w:style w:type="paragraph" w:styleId="Heading3">
    <w:name w:val="heading 3"/>
    <w:basedOn w:val="Normal"/>
    <w:next w:val="Normal"/>
    <w:qFormat/>
    <w:pPr>
      <w:keepNext/>
      <w:jc w:val="both"/>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val="0"/>
      <w:autoSpaceDN w:val="0"/>
      <w:adjustRightInd w:val="0"/>
      <w:jc w:val="center"/>
    </w:pPr>
    <w:rPr>
      <w:rFonts w:ascii="Verdana" w:hAnsi="Verdana" w:cs="Times New Roman TUR"/>
      <w:sz w:val="28"/>
      <w:szCs w:val="28"/>
    </w:rPr>
  </w:style>
  <w:style w:type="paragraph" w:styleId="BodyText2">
    <w:name w:val="Body Text 2"/>
    <w:basedOn w:val="Normal"/>
    <w:pPr>
      <w:autoSpaceDE w:val="0"/>
      <w:autoSpaceDN w:val="0"/>
      <w:adjustRightInd w:val="0"/>
    </w:pPr>
    <w:rPr>
      <w:color w:val="0000FF"/>
      <w:szCs w:val="32"/>
    </w:rPr>
  </w:style>
  <w:style w:type="paragraph" w:styleId="BodyText3">
    <w:name w:val="Body Text 3"/>
    <w:basedOn w:val="Normal"/>
    <w:pPr>
      <w:spacing w:before="100" w:beforeAutospacing="1" w:after="100" w:afterAutospacing="1" w:line="195" w:lineRule="atLeast"/>
      <w:jc w:val="both"/>
    </w:pPr>
    <w:rPr>
      <w:b/>
      <w:bCs/>
      <w:lang w:val="tr-TR"/>
    </w:rPr>
  </w:style>
  <w:style w:type="character" w:customStyle="1" w:styleId="altsayfaaltbaslik">
    <w:name w:val="altsayfaaltbaslik"/>
    <w:basedOn w:val="DefaultParagraphFont"/>
  </w:style>
  <w:style w:type="paragraph" w:styleId="Title">
    <w:name w:val="Title"/>
    <w:basedOn w:val="Normal"/>
    <w:qFormat/>
    <w:pPr>
      <w:jc w:val="center"/>
    </w:pPr>
    <w:rPr>
      <w:sz w:val="44"/>
      <w:lang w:val="tr-TR" w:eastAsia="tr-TR"/>
    </w:rPr>
  </w:style>
  <w:style w:type="paragraph" w:styleId="NormalWeb">
    <w:name w:val="Normal (Web)"/>
    <w:basedOn w:val="Normal"/>
    <w:pPr>
      <w:spacing w:before="100" w:beforeAutospacing="1" w:after="100" w:afterAutospacing="1"/>
    </w:pPr>
    <w:rPr>
      <w:rFonts w:ascii="Arial Unicode MS" w:eastAsia="Arial Unicode MS" w:hAnsi="Arial Unicode MS" w:cs="Arial Unicode MS"/>
      <w:lang w:val="tr-TR" w:eastAsia="tr-TR"/>
    </w:rPr>
  </w:style>
  <w:style w:type="character" w:customStyle="1" w:styleId="anaspot1">
    <w:name w:val="ana_spot1"/>
    <w:basedOn w:val="DefaultParagraphFont"/>
    <w:rPr>
      <w:rFonts w:ascii="Verdana" w:hAnsi="Verdana" w:hint="default"/>
      <w:b/>
      <w:bCs/>
      <w:color w:val="000000"/>
      <w:sz w:val="20"/>
      <w:szCs w:val="20"/>
    </w:rPr>
  </w:style>
  <w:style w:type="character" w:styleId="Strong">
    <w:name w:val="Strong"/>
    <w:basedOn w:val="DefaultParagraphFont"/>
    <w:qFormat/>
    <w:rPr>
      <w:b/>
      <w:bCs/>
    </w:rPr>
  </w:style>
  <w:style w:type="paragraph" w:styleId="BalloonText">
    <w:name w:val="Balloon Text"/>
    <w:basedOn w:val="Normal"/>
    <w:link w:val="BalloonTextChar"/>
    <w:rsid w:val="00D66377"/>
    <w:rPr>
      <w:rFonts w:ascii="Tahoma" w:hAnsi="Tahoma" w:cs="Tahoma"/>
      <w:sz w:val="16"/>
      <w:szCs w:val="16"/>
    </w:rPr>
  </w:style>
  <w:style w:type="character" w:customStyle="1" w:styleId="BalloonTextChar">
    <w:name w:val="Balloon Text Char"/>
    <w:basedOn w:val="DefaultParagraphFont"/>
    <w:link w:val="BalloonText"/>
    <w:rsid w:val="00D66377"/>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paragraph" w:styleId="Heading2">
    <w:name w:val="heading 2"/>
    <w:basedOn w:val="Normal"/>
    <w:next w:val="Normal"/>
    <w:qFormat/>
    <w:pPr>
      <w:keepNext/>
      <w:jc w:val="center"/>
      <w:outlineLvl w:val="1"/>
    </w:pPr>
    <w:rPr>
      <w:sz w:val="52"/>
      <w:lang w:val="tr-TR"/>
    </w:rPr>
  </w:style>
  <w:style w:type="paragraph" w:styleId="Heading3">
    <w:name w:val="heading 3"/>
    <w:basedOn w:val="Normal"/>
    <w:next w:val="Normal"/>
    <w:qFormat/>
    <w:pPr>
      <w:keepNext/>
      <w:jc w:val="both"/>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autoSpaceDE w:val="0"/>
      <w:autoSpaceDN w:val="0"/>
      <w:adjustRightInd w:val="0"/>
      <w:jc w:val="center"/>
    </w:pPr>
    <w:rPr>
      <w:rFonts w:ascii="Verdana" w:hAnsi="Verdana" w:cs="Times New Roman TUR"/>
      <w:sz w:val="28"/>
      <w:szCs w:val="28"/>
    </w:rPr>
  </w:style>
  <w:style w:type="paragraph" w:styleId="BodyText2">
    <w:name w:val="Body Text 2"/>
    <w:basedOn w:val="Normal"/>
    <w:pPr>
      <w:autoSpaceDE w:val="0"/>
      <w:autoSpaceDN w:val="0"/>
      <w:adjustRightInd w:val="0"/>
    </w:pPr>
    <w:rPr>
      <w:color w:val="0000FF"/>
      <w:szCs w:val="32"/>
    </w:rPr>
  </w:style>
  <w:style w:type="paragraph" w:styleId="BodyText3">
    <w:name w:val="Body Text 3"/>
    <w:basedOn w:val="Normal"/>
    <w:pPr>
      <w:spacing w:before="100" w:beforeAutospacing="1" w:after="100" w:afterAutospacing="1" w:line="195" w:lineRule="atLeast"/>
      <w:jc w:val="both"/>
    </w:pPr>
    <w:rPr>
      <w:b/>
      <w:bCs/>
      <w:lang w:val="tr-TR"/>
    </w:rPr>
  </w:style>
  <w:style w:type="character" w:customStyle="1" w:styleId="altsayfaaltbaslik">
    <w:name w:val="altsayfaaltbaslik"/>
    <w:basedOn w:val="DefaultParagraphFont"/>
  </w:style>
  <w:style w:type="paragraph" w:styleId="Title">
    <w:name w:val="Title"/>
    <w:basedOn w:val="Normal"/>
    <w:qFormat/>
    <w:pPr>
      <w:jc w:val="center"/>
    </w:pPr>
    <w:rPr>
      <w:sz w:val="44"/>
      <w:lang w:val="tr-TR" w:eastAsia="tr-TR"/>
    </w:rPr>
  </w:style>
  <w:style w:type="paragraph" w:styleId="NormalWeb">
    <w:name w:val="Normal (Web)"/>
    <w:basedOn w:val="Normal"/>
    <w:pPr>
      <w:spacing w:before="100" w:beforeAutospacing="1" w:after="100" w:afterAutospacing="1"/>
    </w:pPr>
    <w:rPr>
      <w:rFonts w:ascii="Arial Unicode MS" w:eastAsia="Arial Unicode MS" w:hAnsi="Arial Unicode MS" w:cs="Arial Unicode MS"/>
      <w:lang w:val="tr-TR" w:eastAsia="tr-TR"/>
    </w:rPr>
  </w:style>
  <w:style w:type="character" w:customStyle="1" w:styleId="anaspot1">
    <w:name w:val="ana_spot1"/>
    <w:basedOn w:val="DefaultParagraphFont"/>
    <w:rPr>
      <w:rFonts w:ascii="Verdana" w:hAnsi="Verdana" w:hint="default"/>
      <w:b/>
      <w:bCs/>
      <w:color w:val="000000"/>
      <w:sz w:val="20"/>
      <w:szCs w:val="20"/>
    </w:rPr>
  </w:style>
  <w:style w:type="character" w:styleId="Strong">
    <w:name w:val="Strong"/>
    <w:basedOn w:val="DefaultParagraphFont"/>
    <w:qFormat/>
    <w:rPr>
      <w:b/>
      <w:bCs/>
    </w:rPr>
  </w:style>
  <w:style w:type="paragraph" w:styleId="BalloonText">
    <w:name w:val="Balloon Text"/>
    <w:basedOn w:val="Normal"/>
    <w:link w:val="BalloonTextChar"/>
    <w:rsid w:val="00D66377"/>
    <w:rPr>
      <w:rFonts w:ascii="Tahoma" w:hAnsi="Tahoma" w:cs="Tahoma"/>
      <w:sz w:val="16"/>
      <w:szCs w:val="16"/>
    </w:rPr>
  </w:style>
  <w:style w:type="character" w:customStyle="1" w:styleId="BalloonTextChar">
    <w:name w:val="Balloon Text Char"/>
    <w:basedOn w:val="DefaultParagraphFont"/>
    <w:link w:val="BalloonText"/>
    <w:rsid w:val="00D66377"/>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439</Words>
  <Characters>2503</Characters>
  <Application>Microsoft Office Word</Application>
  <DocSecurity>4</DocSecurity>
  <Lines>20</Lines>
  <Paragraphs>5</Paragraphs>
  <ScaleCrop>false</ScaleCrop>
  <Company>BNP Paribas</Company>
  <LinksUpToDate>false</LinksUpToDate>
  <CharactersWithSpaces>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2016-11-25T08:55:00Z</dcterms:created>
  <dcterms:modified xsi:type="dcterms:W3CDTF">2016-11-25T08:55:00Z</dcterms:modified>
</cp:coreProperties>
</file>