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C26" w:rsidRDefault="00263D04">
      <w:pPr>
        <w:jc w:val="right"/>
        <w:rPr>
          <w:rFonts w:ascii="Arial" w:hAnsi="Arial" w:cs="Arial"/>
          <w:lang w:val="en-US"/>
        </w:rPr>
      </w:pPr>
      <w:bookmarkStart w:id="0" w:name="_GoBack"/>
      <w:bookmarkEnd w:id="0"/>
      <w:r>
        <w:rPr>
          <w:rFonts w:ascii="Arial" w:hAnsi="Arial" w:cs="Arial"/>
          <w:lang w:val="en-US"/>
        </w:rPr>
        <w:t>Tuesday, 17 January 2006</w:t>
      </w:r>
    </w:p>
    <w:p w:rsidR="00E07C26" w:rsidRDefault="00E07C26">
      <w:pPr>
        <w:rPr>
          <w:rFonts w:ascii="Arial" w:hAnsi="Arial" w:cs="Arial"/>
          <w:lang w:val="en-US"/>
        </w:rPr>
      </w:pPr>
    </w:p>
    <w:p w:rsidR="00E07C26" w:rsidRDefault="00E07C26">
      <w:pPr>
        <w:pStyle w:val="Heading2"/>
        <w:rPr>
          <w:rFonts w:ascii="Arial" w:hAnsi="Arial" w:cs="Arial"/>
          <w:b/>
          <w:bCs/>
          <w:sz w:val="72"/>
          <w:lang w:val="en-US"/>
        </w:rPr>
      </w:pPr>
    </w:p>
    <w:p w:rsidR="00E07C26" w:rsidRDefault="00263D04">
      <w:pPr>
        <w:pStyle w:val="Heading2"/>
        <w:rPr>
          <w:rFonts w:ascii="Arial" w:hAnsi="Arial" w:cs="Arial"/>
          <w:b/>
          <w:bCs/>
          <w:sz w:val="72"/>
          <w:lang w:val="en-US"/>
        </w:rPr>
      </w:pPr>
      <w:r>
        <w:rPr>
          <w:rFonts w:ascii="Arial" w:hAnsi="Arial" w:cs="Arial"/>
          <w:b/>
          <w:bCs/>
          <w:sz w:val="72"/>
          <w:lang w:val="en-US"/>
        </w:rPr>
        <w:t>TEB Insurance registers record growth</w:t>
      </w:r>
    </w:p>
    <w:p w:rsidR="00E07C26" w:rsidRDefault="00E07C26">
      <w:pPr>
        <w:pStyle w:val="BodyText2"/>
        <w:rPr>
          <w:rFonts w:ascii="Arial" w:hAnsi="Arial" w:cs="Arial"/>
          <w:sz w:val="28"/>
          <w:lang w:val="en-US"/>
        </w:rPr>
      </w:pPr>
    </w:p>
    <w:p w:rsidR="00E07C26" w:rsidRDefault="00E07C26">
      <w:pPr>
        <w:pStyle w:val="BodyText2"/>
        <w:rPr>
          <w:rFonts w:ascii="Arial" w:hAnsi="Arial" w:cs="Arial"/>
          <w:sz w:val="28"/>
          <w:lang w:val="en-US"/>
        </w:rPr>
      </w:pPr>
    </w:p>
    <w:p w:rsidR="00E07C26" w:rsidRDefault="00263D04">
      <w:pPr>
        <w:pStyle w:val="BodyText2"/>
        <w:ind w:left="360"/>
        <w:rPr>
          <w:rFonts w:ascii="Arial" w:hAnsi="Arial" w:cs="Arial"/>
          <w:b/>
          <w:bCs/>
          <w:i/>
          <w:iCs/>
          <w:sz w:val="28"/>
          <w:lang w:val="en-US"/>
        </w:rPr>
      </w:pPr>
      <w:r>
        <w:rPr>
          <w:rFonts w:ascii="Arial" w:hAnsi="Arial" w:cs="Arial"/>
          <w:b/>
          <w:bCs/>
          <w:i/>
          <w:iCs/>
          <w:sz w:val="28"/>
          <w:lang w:val="en-US"/>
        </w:rPr>
        <w:t xml:space="preserve">TEB Insurance, a partnership of TEB Financial Investments that became partners in 2005 with the BNP Paribas, the seventh largest bank in the world and the largest in the euro zone, </w:t>
      </w:r>
      <w:r>
        <w:rPr>
          <w:rFonts w:ascii="Arial" w:hAnsi="Arial" w:cs="Arial"/>
          <w:b/>
          <w:bCs/>
          <w:i/>
          <w:iCs/>
          <w:sz w:val="28"/>
          <w:lang w:val="en-US"/>
        </w:rPr>
        <w:t xml:space="preserve">concluded the year 2005 with a record growth. Increasing its premium production by 70 percent with respect to the preceding year, the company reached the YTL 73.3-million level. </w:t>
      </w:r>
    </w:p>
    <w:p w:rsidR="00E07C26" w:rsidRDefault="00E07C26">
      <w:pPr>
        <w:pStyle w:val="BodyText2"/>
        <w:ind w:left="360"/>
        <w:jc w:val="both"/>
        <w:rPr>
          <w:rFonts w:ascii="Arial" w:hAnsi="Arial" w:cs="Arial"/>
          <w:sz w:val="24"/>
          <w:lang w:val="en-US"/>
        </w:rPr>
      </w:pPr>
    </w:p>
    <w:p w:rsidR="00E07C26" w:rsidRDefault="00E07C26">
      <w:pPr>
        <w:pStyle w:val="BodyText2"/>
        <w:ind w:left="360"/>
        <w:jc w:val="both"/>
        <w:rPr>
          <w:rFonts w:ascii="Arial" w:hAnsi="Arial" w:cs="Arial"/>
          <w:sz w:val="24"/>
          <w:lang w:val="en-US"/>
        </w:rPr>
      </w:pPr>
    </w:p>
    <w:p w:rsidR="00E07C26" w:rsidRDefault="00E07C26">
      <w:pPr>
        <w:jc w:val="both"/>
        <w:rPr>
          <w:rFonts w:ascii="Arial" w:hAnsi="Arial" w:cs="Arial"/>
          <w:lang w:val="en-US"/>
        </w:rPr>
      </w:pPr>
    </w:p>
    <w:p w:rsidR="00E07C26" w:rsidRDefault="00263D04">
      <w:pPr>
        <w:pStyle w:val="BodyText2"/>
        <w:jc w:val="both"/>
        <w:rPr>
          <w:rFonts w:ascii="Arial" w:hAnsi="Arial" w:cs="Arial"/>
          <w:sz w:val="28"/>
          <w:lang w:val="en-US"/>
        </w:rPr>
      </w:pPr>
      <w:r>
        <w:rPr>
          <w:rFonts w:ascii="Arial" w:hAnsi="Arial" w:cs="Arial"/>
          <w:sz w:val="24"/>
          <w:lang w:val="en-US"/>
        </w:rPr>
        <w:t>TEB Insurance, a partnership of TEB Financial Investments that became part</w:t>
      </w:r>
      <w:r>
        <w:rPr>
          <w:rFonts w:ascii="Arial" w:hAnsi="Arial" w:cs="Arial"/>
          <w:sz w:val="24"/>
          <w:lang w:val="en-US"/>
        </w:rPr>
        <w:t>ners in 2005 with the BNP Paribas, the seventh largest bank in the world and the largest in the euro zone, concluded the year 2005 with a record growth. Displaying a growth performance surpassing the sector average, TEB Insurance reached the YTL 73.3-milli</w:t>
      </w:r>
      <w:r>
        <w:rPr>
          <w:rFonts w:ascii="Arial" w:hAnsi="Arial" w:cs="Arial"/>
          <w:sz w:val="24"/>
          <w:lang w:val="en-US"/>
        </w:rPr>
        <w:t>on level by increasing its premium production as of the end of 2005 by 70 percent with respect to the preceding year.</w:t>
      </w:r>
    </w:p>
    <w:p w:rsidR="00E07C26" w:rsidRDefault="00E07C26">
      <w:pPr>
        <w:jc w:val="both"/>
        <w:rPr>
          <w:rFonts w:ascii="Arial" w:hAnsi="Arial" w:cs="Arial"/>
          <w:color w:val="0000FF"/>
          <w:lang w:val="en-US"/>
        </w:rPr>
      </w:pPr>
    </w:p>
    <w:p w:rsidR="00E07C26" w:rsidRDefault="00263D04">
      <w:pPr>
        <w:tabs>
          <w:tab w:val="num" w:pos="360"/>
        </w:tabs>
        <w:jc w:val="both"/>
        <w:rPr>
          <w:rFonts w:ascii="Arial" w:hAnsi="Arial" w:cs="Arial"/>
          <w:color w:val="0000FF"/>
          <w:szCs w:val="20"/>
          <w:lang w:val="en-US"/>
        </w:rPr>
      </w:pPr>
      <w:r>
        <w:rPr>
          <w:rFonts w:ascii="Arial" w:hAnsi="Arial" w:cs="Arial"/>
          <w:lang w:val="en-US"/>
        </w:rPr>
        <w:t>Introducing new products in 2005 such as My Family, My Child’s Education, The Scholar, Professional Liability Insurance For People Of Med</w:t>
      </w:r>
      <w:r>
        <w:rPr>
          <w:rFonts w:ascii="Arial" w:hAnsi="Arial" w:cs="Arial"/>
          <w:lang w:val="en-US"/>
        </w:rPr>
        <w:t>icine, and Leasing Insurance that covers the leased assets against all risks, TEB Insurance also revised its existing products with a competitive touch, supporting such revisions with routine market research in both coverage and pricing. Identifying new se</w:t>
      </w:r>
      <w:r>
        <w:rPr>
          <w:rFonts w:ascii="Arial" w:hAnsi="Arial" w:cs="Arial"/>
          <w:lang w:val="en-US"/>
        </w:rPr>
        <w:t>rvice points, TEB Insurance activated in 2005 a call center where it offered services named the 444 0 665 Insurance By Talking, enabling both the distribution channels and customers to carry out insurance transactions using a single phone number.</w:t>
      </w:r>
      <w:r>
        <w:rPr>
          <w:rFonts w:ascii="Arial" w:hAnsi="Arial" w:cs="Arial"/>
          <w:color w:val="0000FF"/>
          <w:lang w:val="en-US"/>
        </w:rPr>
        <w:t xml:space="preserve"> </w:t>
      </w:r>
    </w:p>
    <w:p w:rsidR="00E07C26" w:rsidRDefault="00E07C26">
      <w:pPr>
        <w:jc w:val="both"/>
        <w:rPr>
          <w:rFonts w:ascii="Arial" w:hAnsi="Arial" w:cs="Arial"/>
          <w:b/>
          <w:bCs/>
          <w:color w:val="0000FF"/>
          <w:lang w:val="en-US"/>
        </w:rPr>
      </w:pPr>
    </w:p>
    <w:p w:rsidR="00E07C26" w:rsidRDefault="00263D04">
      <w:pPr>
        <w:pStyle w:val="Heading8"/>
        <w:rPr>
          <w:lang w:val="en-US"/>
        </w:rPr>
      </w:pPr>
      <w:r>
        <w:rPr>
          <w:lang w:val="en-US"/>
        </w:rPr>
        <w:t>Banking</w:t>
      </w:r>
      <w:r>
        <w:rPr>
          <w:lang w:val="en-US"/>
        </w:rPr>
        <w:t xml:space="preserve"> Insurance </w:t>
      </w:r>
    </w:p>
    <w:p w:rsidR="00E07C26" w:rsidRDefault="00263D04">
      <w:pPr>
        <w:jc w:val="both"/>
        <w:rPr>
          <w:rFonts w:ascii="Arial" w:hAnsi="Arial" w:cs="Arial"/>
          <w:b/>
          <w:bCs/>
          <w:color w:val="0000FF"/>
          <w:lang w:val="en-US"/>
        </w:rPr>
      </w:pPr>
      <w:r>
        <w:rPr>
          <w:rFonts w:ascii="Arial" w:hAnsi="Arial" w:cs="Arial"/>
          <w:lang w:val="en-US"/>
        </w:rPr>
        <w:t xml:space="preserve">TEB Insurance achieved a 107-percent growth with respect to the preceding year in banking insurance in 2005 thanks to the actions it took in such fields as banking insurance products, technological integration, goal and performance monitoring, </w:t>
      </w:r>
      <w:r>
        <w:rPr>
          <w:rFonts w:ascii="Arial" w:hAnsi="Arial" w:cs="Arial"/>
          <w:lang w:val="en-US"/>
        </w:rPr>
        <w:t>and rewarding. TEB Insurance products were made available to customers at Türk Ekonomi Bank (TEB) branches under a cooperation worked out with TEB. Portfolio managers at TEB branches can now prepare policies for insurance products associated with banking p</w:t>
      </w:r>
      <w:r>
        <w:rPr>
          <w:rFonts w:ascii="Arial" w:hAnsi="Arial" w:cs="Arial"/>
          <w:lang w:val="en-US"/>
        </w:rPr>
        <w:t>roducts using their own screens and submit them to the customers. Even though this arrangement was initiated in stages as recently as May 2005, 10 percent of TEB Insurance’s total number of policies were drafted on TEB portfolio managers’ screens as of the</w:t>
      </w:r>
      <w:r>
        <w:rPr>
          <w:rFonts w:ascii="Arial" w:hAnsi="Arial" w:cs="Arial"/>
          <w:lang w:val="en-US"/>
        </w:rPr>
        <w:t xml:space="preserve"> end of 2005. TEB Insurance achieved a similar </w:t>
      </w:r>
      <w:r>
        <w:rPr>
          <w:rFonts w:ascii="Arial" w:hAnsi="Arial" w:cs="Arial"/>
          <w:lang w:val="en-US"/>
        </w:rPr>
        <w:lastRenderedPageBreak/>
        <w:t>success with TEB Leasing, as well, with the latter growing by 121 percent with respect to the preceding year thanks to the acclaim enjoyed by the Leasing Insurance product that covers the leased assets against</w:t>
      </w:r>
      <w:r>
        <w:rPr>
          <w:rFonts w:ascii="Arial" w:hAnsi="Arial" w:cs="Arial"/>
          <w:lang w:val="en-US"/>
        </w:rPr>
        <w:t xml:space="preserve"> all risks.</w:t>
      </w:r>
      <w:r>
        <w:rPr>
          <w:rFonts w:ascii="Arial" w:hAnsi="Arial" w:cs="Arial"/>
          <w:color w:val="0000FF"/>
          <w:lang w:val="en-US"/>
        </w:rPr>
        <w:t xml:space="preserve"> </w:t>
      </w:r>
    </w:p>
    <w:p w:rsidR="00E07C26" w:rsidRDefault="00E07C26">
      <w:pPr>
        <w:jc w:val="both"/>
        <w:rPr>
          <w:rFonts w:ascii="Arial" w:hAnsi="Arial" w:cs="Arial"/>
          <w:b/>
          <w:bCs/>
          <w:color w:val="0000FF"/>
          <w:lang w:val="en-US"/>
        </w:rPr>
      </w:pPr>
    </w:p>
    <w:p w:rsidR="00E07C26" w:rsidRDefault="00263D04">
      <w:pPr>
        <w:pStyle w:val="Heading7"/>
        <w:rPr>
          <w:color w:val="auto"/>
          <w:lang w:val="en-US"/>
        </w:rPr>
      </w:pPr>
      <w:r>
        <w:rPr>
          <w:color w:val="auto"/>
          <w:lang w:val="en-US"/>
        </w:rPr>
        <w:t>Balanced portfolio</w:t>
      </w:r>
    </w:p>
    <w:p w:rsidR="00E07C26" w:rsidRDefault="00263D04">
      <w:pPr>
        <w:jc w:val="both"/>
        <w:rPr>
          <w:rFonts w:ascii="Arial" w:hAnsi="Arial" w:cs="Arial"/>
          <w:lang w:val="en-US"/>
        </w:rPr>
      </w:pPr>
      <w:r>
        <w:rPr>
          <w:rFonts w:ascii="Arial" w:hAnsi="Arial" w:cs="Arial"/>
          <w:lang w:val="en-US"/>
        </w:rPr>
        <w:t>Creating a balanced portfolio composition in terms of branches in generating premium, TEB Insurance registered a high volume of growth in non-automobile branches as opposed to the sector at large. Fire had considerable weig</w:t>
      </w:r>
      <w:r>
        <w:rPr>
          <w:rFonts w:ascii="Arial" w:hAnsi="Arial" w:cs="Arial"/>
          <w:lang w:val="en-US"/>
        </w:rPr>
        <w:t>ht among TEB Insurance branches with a share of 32.5 percent. TEB Insurance also saw significant rates of growth in the branches of individual accident, transportation, and engineering, growing by 154 percent in individual accident insurance, 96 percent in</w:t>
      </w:r>
      <w:r>
        <w:rPr>
          <w:rFonts w:ascii="Arial" w:hAnsi="Arial" w:cs="Arial"/>
          <w:lang w:val="en-US"/>
        </w:rPr>
        <w:t xml:space="preserve"> transportation insurance, and 180 percent in engineering insurance. TEB Insurance completed the year 2005 in profit with its balance portfolio composition.</w:t>
      </w:r>
    </w:p>
    <w:p w:rsidR="00E07C26" w:rsidRDefault="00263D04">
      <w:pPr>
        <w:jc w:val="both"/>
        <w:rPr>
          <w:rFonts w:ascii="Arial" w:hAnsi="Arial" w:cs="Arial"/>
          <w:color w:val="0000FF"/>
          <w:lang w:val="en-US"/>
        </w:rPr>
      </w:pPr>
      <w:r>
        <w:rPr>
          <w:rFonts w:ascii="Arial" w:hAnsi="Arial" w:cs="Arial"/>
          <w:color w:val="0000FF"/>
          <w:lang w:val="en-US"/>
        </w:rPr>
        <w:t xml:space="preserve"> </w:t>
      </w:r>
    </w:p>
    <w:p w:rsidR="00E07C26" w:rsidRDefault="00263D04">
      <w:pPr>
        <w:jc w:val="both"/>
        <w:rPr>
          <w:rFonts w:ascii="Arial" w:hAnsi="Arial" w:cs="Arial"/>
          <w:lang w:val="en-US"/>
        </w:rPr>
      </w:pPr>
      <w:r>
        <w:rPr>
          <w:rFonts w:ascii="Arial" w:hAnsi="Arial" w:cs="Arial"/>
          <w:lang w:val="en-US"/>
        </w:rPr>
        <w:t xml:space="preserve">Growing by 76 percent also in the channel of agencies and brokers, TEB Insurance invested in new </w:t>
      </w:r>
      <w:r>
        <w:rPr>
          <w:rFonts w:ascii="Arial" w:hAnsi="Arial" w:cs="Arial"/>
          <w:lang w:val="en-US"/>
        </w:rPr>
        <w:t>fields, as well, in 2005. Obtaining operating licenses in the fields of legal protection and health in 2005, TEB Insurance also applied for a license to operate in the branch of credit insurance.</w:t>
      </w:r>
    </w:p>
    <w:p w:rsidR="00E07C26" w:rsidRDefault="00E07C26">
      <w:pPr>
        <w:jc w:val="both"/>
        <w:rPr>
          <w:rFonts w:ascii="Arial" w:hAnsi="Arial" w:cs="Arial"/>
          <w:color w:val="0000FF"/>
          <w:lang w:val="en-US"/>
        </w:rPr>
      </w:pPr>
    </w:p>
    <w:p w:rsidR="00E07C26" w:rsidRDefault="00263D04">
      <w:pPr>
        <w:pStyle w:val="Heading8"/>
        <w:rPr>
          <w:lang w:val="en-US"/>
        </w:rPr>
      </w:pPr>
      <w:r>
        <w:rPr>
          <w:lang w:val="en-US"/>
        </w:rPr>
        <w:t>New products</w:t>
      </w:r>
    </w:p>
    <w:p w:rsidR="00E07C26" w:rsidRDefault="00263D04">
      <w:pPr>
        <w:jc w:val="both"/>
        <w:rPr>
          <w:rFonts w:ascii="Arial" w:hAnsi="Arial" w:cs="Arial"/>
          <w:color w:val="0000FF"/>
          <w:lang w:val="en-US"/>
        </w:rPr>
      </w:pPr>
      <w:r>
        <w:rPr>
          <w:rFonts w:ascii="Arial" w:hAnsi="Arial" w:cs="Arial"/>
          <w:lang w:val="en-US"/>
        </w:rPr>
        <w:t>TEB Insurance got off to a vigorous start in 2</w:t>
      </w:r>
      <w:r>
        <w:rPr>
          <w:rFonts w:ascii="Arial" w:hAnsi="Arial" w:cs="Arial"/>
          <w:lang w:val="en-US"/>
        </w:rPr>
        <w:t>006 with its new products and investments. The company plans to kick off operations in credit insurance in early 2006. Enriching its vehicle and homeowner policies with the addition of legal protection coverage, TEB Insurance will now be standing by the in</w:t>
      </w:r>
      <w:r>
        <w:rPr>
          <w:rFonts w:ascii="Arial" w:hAnsi="Arial" w:cs="Arial"/>
          <w:lang w:val="en-US"/>
        </w:rPr>
        <w:t>sured in case of legal disputes, as well. Health products such as travel health insurance and serious illnesses insurance will be introduced in 2006.</w:t>
      </w:r>
      <w:r>
        <w:rPr>
          <w:rFonts w:ascii="Arial" w:hAnsi="Arial" w:cs="Arial"/>
          <w:color w:val="0000FF"/>
          <w:lang w:val="en-US"/>
        </w:rPr>
        <w:t xml:space="preserve"> </w:t>
      </w:r>
    </w:p>
    <w:p w:rsidR="00E07C26" w:rsidRDefault="00E07C26">
      <w:pPr>
        <w:pStyle w:val="BodyText3"/>
        <w:rPr>
          <w:rFonts w:ascii="Arial" w:hAnsi="Arial" w:cs="Arial"/>
          <w:color w:val="0000FF"/>
          <w:sz w:val="24"/>
          <w:szCs w:val="20"/>
          <w:lang w:val="en-US"/>
        </w:rPr>
      </w:pPr>
    </w:p>
    <w:p w:rsidR="00E07C26" w:rsidRDefault="00263D04">
      <w:pPr>
        <w:pStyle w:val="BodyText3"/>
        <w:rPr>
          <w:rFonts w:ascii="Arial" w:hAnsi="Arial" w:cs="Arial"/>
          <w:sz w:val="24"/>
          <w:lang w:val="en-US"/>
        </w:rPr>
      </w:pPr>
      <w:r>
        <w:rPr>
          <w:rFonts w:ascii="Arial" w:hAnsi="Arial" w:cs="Arial"/>
          <w:b/>
          <w:bCs/>
          <w:sz w:val="24"/>
          <w:lang w:val="en-US"/>
        </w:rPr>
        <w:t>2006 profit target 7 trillion</w:t>
      </w:r>
    </w:p>
    <w:p w:rsidR="00E07C26" w:rsidRDefault="00263D04">
      <w:pPr>
        <w:pStyle w:val="BodyText3"/>
        <w:rPr>
          <w:rFonts w:ascii="Arial" w:hAnsi="Arial" w:cs="Arial"/>
          <w:sz w:val="24"/>
          <w:lang w:val="en-US"/>
        </w:rPr>
      </w:pPr>
      <w:r>
        <w:rPr>
          <w:rFonts w:ascii="Arial" w:hAnsi="Arial" w:cs="Arial"/>
          <w:sz w:val="24"/>
          <w:lang w:val="en-US"/>
        </w:rPr>
        <w:t>TEB Insurance General Manager</w:t>
      </w:r>
      <w:r>
        <w:rPr>
          <w:rFonts w:ascii="Arial" w:hAnsi="Arial" w:cs="Arial"/>
          <w:sz w:val="24"/>
          <w:lang w:val="en-US"/>
        </w:rPr>
        <w:t xml:space="preserve"> Ertuğrul Bul noted that their market share of 0.78 percent as of the end of 2004 was going to rise considerably in 2005 and that the contribution of the vehicle accident branch to this growth was rather small in contrast to the rest of the sector. Ertuğru</w:t>
      </w:r>
      <w:r>
        <w:rPr>
          <w:rFonts w:ascii="Arial" w:hAnsi="Arial" w:cs="Arial"/>
          <w:sz w:val="24"/>
          <w:lang w:val="en-US"/>
        </w:rPr>
        <w:t xml:space="preserve">l Bul said the growth picked up momentum as of the second half of the year and that the impact of these premiums on profitability would be felt more strongly in 2006 with the effect of </w:t>
      </w:r>
      <w:r>
        <w:rPr>
          <w:rFonts w:ascii="Arial" w:hAnsi="Arial" w:cs="Arial"/>
          <w:b/>
          <w:bCs/>
          <w:color w:val="FF0000"/>
          <w:sz w:val="24"/>
          <w:lang w:val="en-US"/>
        </w:rPr>
        <w:t>current risk securities</w:t>
      </w:r>
      <w:r>
        <w:rPr>
          <w:rFonts w:ascii="Arial" w:hAnsi="Arial" w:cs="Arial"/>
          <w:sz w:val="24"/>
          <w:lang w:val="en-US"/>
        </w:rPr>
        <w:t xml:space="preserve"> and stable growth. Bul announced TEB Insurance’</w:t>
      </w:r>
      <w:r>
        <w:rPr>
          <w:rFonts w:ascii="Arial" w:hAnsi="Arial" w:cs="Arial"/>
          <w:sz w:val="24"/>
          <w:lang w:val="en-US"/>
        </w:rPr>
        <w:t>s targeted profit in 2006 as YTL 7 trillion.</w:t>
      </w:r>
    </w:p>
    <w:p w:rsidR="00E07C26" w:rsidRDefault="00E07C26">
      <w:pPr>
        <w:pStyle w:val="BodyText3"/>
        <w:rPr>
          <w:rFonts w:ascii="Arial" w:hAnsi="Arial" w:cs="Arial"/>
          <w:color w:val="0000FF"/>
          <w:sz w:val="24"/>
          <w:lang w:val="en-US"/>
        </w:rPr>
      </w:pPr>
    </w:p>
    <w:p w:rsidR="00E07C26" w:rsidRDefault="00263D04">
      <w:pPr>
        <w:pStyle w:val="BodyText3"/>
        <w:rPr>
          <w:rFonts w:ascii="Arial" w:hAnsi="Arial" w:cs="Arial"/>
          <w:sz w:val="24"/>
          <w:lang w:val="en-US"/>
        </w:rPr>
      </w:pPr>
      <w:r>
        <w:rPr>
          <w:rFonts w:ascii="Arial" w:hAnsi="Arial" w:cs="Arial"/>
          <w:sz w:val="24"/>
          <w:lang w:val="en-US"/>
        </w:rPr>
        <w:t xml:space="preserve">Pointing out that technical profitably assumed greater importance in companies operating in the sector given the current climate of reduced inflation, TEB Insurance General Manager Ertuğrul Bul reported that </w:t>
      </w:r>
      <w:r>
        <w:rPr>
          <w:rFonts w:ascii="Arial" w:hAnsi="Arial" w:cs="Arial"/>
          <w:sz w:val="24"/>
          <w:lang w:val="en-US"/>
        </w:rPr>
        <w:t xml:space="preserve">they had achieved a technical profitability in excess of 10 percent “for the time being.” </w:t>
      </w:r>
    </w:p>
    <w:sectPr w:rsidR="00E07C26">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bon MT">
    <w:altName w:val="Times New Roman"/>
    <w:charset w:val="00"/>
    <w:family w:val="roman"/>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0191E"/>
    <w:multiLevelType w:val="hybridMultilevel"/>
    <w:tmpl w:val="7FAA0E98"/>
    <w:lvl w:ilvl="0" w:tplc="316417C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7359000D"/>
    <w:multiLevelType w:val="hybridMultilevel"/>
    <w:tmpl w:val="710EB558"/>
    <w:lvl w:ilvl="0" w:tplc="8E9A3012">
      <w:start w:val="2005"/>
      <w:numFmt w:val="decimal"/>
      <w:lvlText w:val="%1"/>
      <w:lvlJc w:val="left"/>
      <w:pPr>
        <w:tabs>
          <w:tab w:val="num" w:pos="1005"/>
        </w:tabs>
        <w:ind w:left="1005" w:hanging="645"/>
      </w:pPr>
      <w:rPr>
        <w:rFonts w:hint="default"/>
        <w:color w:val="auto"/>
        <w:sz w:val="28"/>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5EB"/>
    <w:rsid w:val="00263D04"/>
    <w:rsid w:val="007375EB"/>
    <w:rsid w:val="00E07C2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52"/>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both"/>
      <w:outlineLvl w:val="2"/>
    </w:pPr>
    <w:rPr>
      <w:sz w:val="28"/>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b/>
      <w:bCs/>
      <w:sz w:val="28"/>
    </w:rPr>
  </w:style>
  <w:style w:type="paragraph" w:styleId="Heading6">
    <w:name w:val="heading 6"/>
    <w:basedOn w:val="Normal"/>
    <w:next w:val="Normal"/>
    <w:qFormat/>
    <w:pPr>
      <w:keepNext/>
      <w:jc w:val="both"/>
      <w:outlineLvl w:val="5"/>
    </w:pPr>
    <w:rPr>
      <w:b/>
      <w:bCs/>
      <w:sz w:val="28"/>
      <w14:shadow w14:blurRad="50800" w14:dist="38100" w14:dir="2700000" w14:sx="100000" w14:sy="100000" w14:kx="0" w14:ky="0" w14:algn="tl">
        <w14:srgbClr w14:val="000000">
          <w14:alpha w14:val="60000"/>
        </w14:srgbClr>
      </w14:shadow>
    </w:rPr>
  </w:style>
  <w:style w:type="paragraph" w:styleId="Heading7">
    <w:name w:val="heading 7"/>
    <w:basedOn w:val="Normal"/>
    <w:next w:val="Normal"/>
    <w:qFormat/>
    <w:pPr>
      <w:keepNext/>
      <w:jc w:val="both"/>
      <w:outlineLvl w:val="6"/>
    </w:pPr>
    <w:rPr>
      <w:rFonts w:ascii="Arial" w:hAnsi="Arial" w:cs="Arial"/>
      <w:b/>
      <w:bCs/>
      <w:color w:val="000000"/>
    </w:rPr>
  </w:style>
  <w:style w:type="paragraph" w:styleId="Heading8">
    <w:name w:val="heading 8"/>
    <w:basedOn w:val="Normal"/>
    <w:next w:val="Normal"/>
    <w:qFormat/>
    <w:pPr>
      <w:keepNext/>
      <w:jc w:val="both"/>
      <w:outlineLvl w:val="7"/>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8"/>
    </w:rPr>
  </w:style>
  <w:style w:type="paragraph" w:styleId="BodyText2">
    <w:name w:val="Body Text 2"/>
    <w:basedOn w:val="Normal"/>
    <w:semiHidden/>
    <w:pPr>
      <w:jc w:val="center"/>
    </w:pPr>
    <w:rPr>
      <w:sz w:val="32"/>
    </w:rPr>
  </w:style>
  <w:style w:type="paragraph" w:styleId="BodyText3">
    <w:name w:val="Body Text 3"/>
    <w:basedOn w:val="Normal"/>
    <w:semiHidden/>
    <w:pPr>
      <w:jc w:val="both"/>
    </w:pPr>
    <w:rPr>
      <w:sz w:val="28"/>
    </w:rPr>
  </w:style>
  <w:style w:type="character" w:styleId="Hyperlink">
    <w:name w:val="Hyperlink"/>
    <w:basedOn w:val="DefaultParagraphFont"/>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rPr>
  </w:style>
  <w:style w:type="paragraph" w:styleId="Header">
    <w:name w:val="header"/>
    <w:basedOn w:val="Normal"/>
    <w:semiHidden/>
    <w:pPr>
      <w:tabs>
        <w:tab w:val="center" w:pos="4153"/>
        <w:tab w:val="right" w:pos="8306"/>
      </w:tabs>
    </w:pPr>
    <w:rPr>
      <w:rFonts w:ascii="Sabon MT" w:hAnsi="Sabon MT"/>
      <w:szCs w:val="20"/>
      <w:lang w:val="en-GB"/>
    </w:rPr>
  </w:style>
  <w:style w:type="paragraph" w:styleId="Title">
    <w:name w:val="Title"/>
    <w:basedOn w:val="Normal"/>
    <w:qFormat/>
    <w:pPr>
      <w:jc w:val="center"/>
    </w:pPr>
    <w:rPr>
      <w:rFonts w:ascii="Sabon MT" w:hAnsi="Sabon MT"/>
      <w:b/>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52"/>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both"/>
      <w:outlineLvl w:val="2"/>
    </w:pPr>
    <w:rPr>
      <w:sz w:val="28"/>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b/>
      <w:bCs/>
      <w:sz w:val="28"/>
    </w:rPr>
  </w:style>
  <w:style w:type="paragraph" w:styleId="Heading6">
    <w:name w:val="heading 6"/>
    <w:basedOn w:val="Normal"/>
    <w:next w:val="Normal"/>
    <w:qFormat/>
    <w:pPr>
      <w:keepNext/>
      <w:jc w:val="both"/>
      <w:outlineLvl w:val="5"/>
    </w:pPr>
    <w:rPr>
      <w:b/>
      <w:bCs/>
      <w:sz w:val="28"/>
      <w14:shadow w14:blurRad="50800" w14:dist="38100" w14:dir="2700000" w14:sx="100000" w14:sy="100000" w14:kx="0" w14:ky="0" w14:algn="tl">
        <w14:srgbClr w14:val="000000">
          <w14:alpha w14:val="60000"/>
        </w14:srgbClr>
      </w14:shadow>
    </w:rPr>
  </w:style>
  <w:style w:type="paragraph" w:styleId="Heading7">
    <w:name w:val="heading 7"/>
    <w:basedOn w:val="Normal"/>
    <w:next w:val="Normal"/>
    <w:qFormat/>
    <w:pPr>
      <w:keepNext/>
      <w:jc w:val="both"/>
      <w:outlineLvl w:val="6"/>
    </w:pPr>
    <w:rPr>
      <w:rFonts w:ascii="Arial" w:hAnsi="Arial" w:cs="Arial"/>
      <w:b/>
      <w:bCs/>
      <w:color w:val="000000"/>
    </w:rPr>
  </w:style>
  <w:style w:type="paragraph" w:styleId="Heading8">
    <w:name w:val="heading 8"/>
    <w:basedOn w:val="Normal"/>
    <w:next w:val="Normal"/>
    <w:qFormat/>
    <w:pPr>
      <w:keepNext/>
      <w:jc w:val="both"/>
      <w:outlineLvl w:val="7"/>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8"/>
    </w:rPr>
  </w:style>
  <w:style w:type="paragraph" w:styleId="BodyText2">
    <w:name w:val="Body Text 2"/>
    <w:basedOn w:val="Normal"/>
    <w:semiHidden/>
    <w:pPr>
      <w:jc w:val="center"/>
    </w:pPr>
    <w:rPr>
      <w:sz w:val="32"/>
    </w:rPr>
  </w:style>
  <w:style w:type="paragraph" w:styleId="BodyText3">
    <w:name w:val="Body Text 3"/>
    <w:basedOn w:val="Normal"/>
    <w:semiHidden/>
    <w:pPr>
      <w:jc w:val="both"/>
    </w:pPr>
    <w:rPr>
      <w:sz w:val="28"/>
    </w:rPr>
  </w:style>
  <w:style w:type="character" w:styleId="Hyperlink">
    <w:name w:val="Hyperlink"/>
    <w:basedOn w:val="DefaultParagraphFont"/>
    <w:semiHidden/>
    <w:rPr>
      <w:color w:val="0000FF"/>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rPr>
  </w:style>
  <w:style w:type="paragraph" w:styleId="Header">
    <w:name w:val="header"/>
    <w:basedOn w:val="Normal"/>
    <w:semiHidden/>
    <w:pPr>
      <w:tabs>
        <w:tab w:val="center" w:pos="4153"/>
        <w:tab w:val="right" w:pos="8306"/>
      </w:tabs>
    </w:pPr>
    <w:rPr>
      <w:rFonts w:ascii="Sabon MT" w:hAnsi="Sabon MT"/>
      <w:szCs w:val="20"/>
      <w:lang w:val="en-GB"/>
    </w:rPr>
  </w:style>
  <w:style w:type="paragraph" w:styleId="Title">
    <w:name w:val="Title"/>
    <w:basedOn w:val="Normal"/>
    <w:qFormat/>
    <w:pPr>
      <w:jc w:val="center"/>
    </w:pPr>
    <w:rPr>
      <w:rFonts w:ascii="Sabon MT" w:hAnsi="Sabon MT"/>
      <w:b/>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4169</Characters>
  <Application>Microsoft Office Word</Application>
  <DocSecurity>4</DocSecurity>
  <Lines>34</Lines>
  <Paragraphs>9</Paragraphs>
  <ScaleCrop>false</ScaleCrop>
  <Company>BNP Paribas</Company>
  <LinksUpToDate>false</LinksUpToDate>
  <CharactersWithSpaces>4891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