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E2B" w:rsidRDefault="005C2E2B">
      <w:pPr>
        <w:pStyle w:val="Heading1"/>
        <w:jc w:val="center"/>
        <w:rPr>
          <w:lang w:val="en-US"/>
        </w:rPr>
      </w:pPr>
      <w:bookmarkStart w:id="0" w:name="_GoBack"/>
      <w:bookmarkEnd w:id="0"/>
    </w:p>
    <w:p w:rsidR="005C2E2B" w:rsidRDefault="00B01030">
      <w:pPr>
        <w:pStyle w:val="Heading1"/>
        <w:jc w:val="center"/>
        <w:rPr>
          <w:lang w:val="en-US"/>
        </w:rPr>
      </w:pPr>
      <w:r>
        <w:rPr>
          <w:lang w:val="en-US"/>
        </w:rPr>
        <w:t>TÜRK EKONOMİ BANK PLC</w:t>
      </w:r>
    </w:p>
    <w:p w:rsidR="005C2E2B" w:rsidRDefault="00B01030">
      <w:pPr>
        <w:jc w:val="center"/>
        <w:rPr>
          <w:b/>
          <w:bCs/>
        </w:rPr>
      </w:pPr>
      <w:r>
        <w:rPr>
          <w:b/>
          <w:bCs/>
        </w:rPr>
        <w:t>Press Release</w:t>
      </w:r>
    </w:p>
    <w:p w:rsidR="005C2E2B" w:rsidRDefault="00B01030">
      <w:pPr>
        <w:pStyle w:val="Heading1"/>
        <w:jc w:val="center"/>
        <w:rPr>
          <w:rFonts w:eastAsia="Arial Unicode MS"/>
          <w:lang w:val="en-US"/>
        </w:rPr>
      </w:pPr>
      <w:r>
        <w:rPr>
          <w:lang w:val="en-US"/>
        </w:rPr>
        <w:t>on Financial Tables dated 31 December 2005</w:t>
      </w:r>
    </w:p>
    <w:p w:rsidR="005C2E2B" w:rsidRDefault="005C2E2B">
      <w:pPr>
        <w:pStyle w:val="Heading1"/>
        <w:jc w:val="center"/>
        <w:rPr>
          <w:sz w:val="22"/>
          <w:lang w:val="en-US"/>
        </w:rPr>
      </w:pPr>
    </w:p>
    <w:p w:rsidR="005C2E2B" w:rsidRDefault="005C2E2B"/>
    <w:p w:rsidR="005C2E2B" w:rsidRDefault="005C2E2B"/>
    <w:p w:rsidR="005C2E2B" w:rsidRDefault="005C2E2B">
      <w:pPr>
        <w:pStyle w:val="Heading1"/>
        <w:jc w:val="center"/>
        <w:rPr>
          <w:sz w:val="22"/>
          <w:lang w:val="en-US"/>
        </w:rPr>
      </w:pPr>
    </w:p>
    <w:p w:rsidR="005C2E2B" w:rsidRDefault="00B01030">
      <w:pPr>
        <w:pStyle w:val="Heading1"/>
        <w:jc w:val="center"/>
        <w:rPr>
          <w:sz w:val="28"/>
          <w:lang w:val="en-US"/>
        </w:rPr>
      </w:pPr>
      <w:r>
        <w:rPr>
          <w:sz w:val="28"/>
          <w:lang w:val="en-US"/>
        </w:rPr>
        <w:t>FIRST-YEAR RESULTS OF TEB – BNP PARIBAS PARTNERSHIP</w:t>
      </w:r>
    </w:p>
    <w:p w:rsidR="005C2E2B" w:rsidRDefault="005C2E2B">
      <w:pPr>
        <w:pStyle w:val="Heading1"/>
        <w:jc w:val="center"/>
        <w:rPr>
          <w:sz w:val="22"/>
          <w:lang w:val="en-US"/>
        </w:rPr>
      </w:pPr>
    </w:p>
    <w:p w:rsidR="005C2E2B" w:rsidRDefault="005C2E2B">
      <w:pPr>
        <w:pStyle w:val="Heading1"/>
        <w:rPr>
          <w:sz w:val="22"/>
          <w:lang w:val="en-US"/>
        </w:rPr>
      </w:pPr>
    </w:p>
    <w:p w:rsidR="005C2E2B" w:rsidRDefault="005C2E2B">
      <w:pPr>
        <w:jc w:val="both"/>
        <w:rPr>
          <w:sz w:val="22"/>
        </w:rPr>
      </w:pPr>
    </w:p>
    <w:p w:rsidR="005C2E2B" w:rsidRDefault="00B01030">
      <w:pPr>
        <w:jc w:val="both"/>
        <w:rPr>
          <w:sz w:val="22"/>
        </w:rPr>
      </w:pPr>
      <w:r>
        <w:rPr>
          <w:sz w:val="22"/>
        </w:rPr>
        <w:t>The Financial Tables of our bank dated 31 December 2005 were published at the Istanbul Stock Exchange and the London Stock Exchange on 9 February 2006.</w:t>
      </w:r>
    </w:p>
    <w:p w:rsidR="005C2E2B" w:rsidRDefault="005C2E2B">
      <w:pPr>
        <w:jc w:val="both"/>
        <w:rPr>
          <w:sz w:val="22"/>
        </w:rPr>
      </w:pPr>
    </w:p>
    <w:p w:rsidR="005C2E2B" w:rsidRDefault="00B01030">
      <w:pPr>
        <w:jc w:val="both"/>
        <w:rPr>
          <w:sz w:val="22"/>
        </w:rPr>
      </w:pPr>
      <w:r>
        <w:rPr>
          <w:sz w:val="22"/>
        </w:rPr>
        <w:t>The following is a compilation of figures and ratios from the consolidated financial tables of our bank</w:t>
      </w:r>
      <w:r>
        <w:rPr>
          <w:sz w:val="22"/>
        </w:rPr>
        <w:t xml:space="preserve"> that we find significant in that they reflect our strong financial structure and consistent growth in a sector with reduced rates of inflation and interest, narrowed profit margins, and stiff competition.</w:t>
      </w:r>
    </w:p>
    <w:p w:rsidR="005C2E2B" w:rsidRDefault="005C2E2B">
      <w:pPr>
        <w:jc w:val="both"/>
        <w:rPr>
          <w:sz w:val="22"/>
        </w:rPr>
      </w:pPr>
    </w:p>
    <w:tbl>
      <w:tblPr>
        <w:tblW w:w="5940" w:type="dxa"/>
        <w:tblCellMar>
          <w:left w:w="0" w:type="dxa"/>
          <w:right w:w="0" w:type="dxa"/>
        </w:tblCellMar>
        <w:tblLook w:val="0000" w:firstRow="0" w:lastRow="0" w:firstColumn="0" w:lastColumn="0" w:noHBand="0" w:noVBand="0"/>
      </w:tblPr>
      <w:tblGrid>
        <w:gridCol w:w="1751"/>
        <w:gridCol w:w="888"/>
        <w:gridCol w:w="188"/>
        <w:gridCol w:w="1248"/>
        <w:gridCol w:w="71"/>
        <w:gridCol w:w="1241"/>
        <w:gridCol w:w="71"/>
        <w:gridCol w:w="937"/>
      </w:tblGrid>
      <w:tr w:rsidR="005C2E2B">
        <w:trPr>
          <w:trHeight w:val="300"/>
        </w:trPr>
        <w:tc>
          <w:tcPr>
            <w:tcW w:w="1320" w:type="dxa"/>
            <w:tcBorders>
              <w:top w:val="single" w:sz="4" w:space="0" w:color="auto"/>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880" w:type="dxa"/>
            <w:tcBorders>
              <w:top w:val="single" w:sz="4" w:space="0" w:color="auto"/>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180" w:type="dxa"/>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3560" w:type="dxa"/>
            <w:gridSpan w:val="5"/>
            <w:tcBorders>
              <w:top w:val="single" w:sz="4" w:space="0" w:color="auto"/>
              <w:left w:val="single" w:sz="4" w:space="0" w:color="auto"/>
              <w:bottom w:val="nil"/>
              <w:right w:val="single" w:sz="4" w:space="0" w:color="000000"/>
            </w:tcBorders>
            <w:noWrap/>
            <w:vAlign w:val="bottom"/>
          </w:tcPr>
          <w:p w:rsidR="005C2E2B" w:rsidRDefault="00B01030">
            <w:pPr>
              <w:jc w:val="center"/>
              <w:rPr>
                <w:rFonts w:ascii="Arial" w:eastAsia="Arial Unicode MS" w:hAnsi="Arial" w:cs="Arial"/>
                <w:b/>
                <w:bCs/>
                <w:sz w:val="22"/>
                <w:szCs w:val="22"/>
              </w:rPr>
            </w:pPr>
            <w:r>
              <w:rPr>
                <w:rFonts w:ascii="Arial" w:hAnsi="Arial" w:cs="Arial"/>
                <w:b/>
                <w:bCs/>
                <w:sz w:val="22"/>
                <w:szCs w:val="22"/>
              </w:rPr>
              <w:t>K   O   N   S   O   L   İ   D   E</w:t>
            </w:r>
          </w:p>
        </w:tc>
      </w:tr>
      <w:tr w:rsidR="005C2E2B">
        <w:trPr>
          <w:trHeight w:val="300"/>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jc w:val="center"/>
              <w:rPr>
                <w:rFonts w:ascii="Arial" w:eastAsia="Arial Unicode MS" w:hAnsi="Arial" w:cs="Arial"/>
                <w:b/>
                <w:bCs/>
                <w:sz w:val="22"/>
                <w:szCs w:val="22"/>
              </w:rPr>
            </w:pPr>
            <w:r>
              <w:rPr>
                <w:rFonts w:ascii="Arial" w:hAnsi="Arial" w:cs="Arial"/>
                <w:b/>
                <w:bCs/>
                <w:sz w:val="22"/>
                <w:szCs w:val="22"/>
              </w:rPr>
              <w:t> </w:t>
            </w:r>
          </w:p>
        </w:tc>
        <w:tc>
          <w:tcPr>
            <w:tcW w:w="0" w:type="auto"/>
            <w:tcBorders>
              <w:top w:val="nil"/>
              <w:left w:val="nil"/>
              <w:bottom w:val="nil"/>
              <w:right w:val="nil"/>
            </w:tcBorders>
            <w:noWrap/>
            <w:vAlign w:val="bottom"/>
          </w:tcPr>
          <w:p w:rsidR="005C2E2B" w:rsidRDefault="005C2E2B">
            <w:pPr>
              <w:jc w:val="center"/>
              <w:rPr>
                <w:rFonts w:ascii="Arial" w:eastAsia="Arial Unicode MS" w:hAnsi="Arial" w:cs="Arial"/>
                <w:b/>
                <w:bCs/>
                <w:sz w:val="22"/>
                <w:szCs w:val="22"/>
              </w:rPr>
            </w:pPr>
          </w:p>
        </w:tc>
        <w:tc>
          <w:tcPr>
            <w:tcW w:w="0" w:type="auto"/>
            <w:tcBorders>
              <w:top w:val="nil"/>
              <w:left w:val="nil"/>
              <w:bottom w:val="nil"/>
              <w:right w:val="nil"/>
            </w:tcBorders>
            <w:noWrap/>
            <w:vAlign w:val="bottom"/>
          </w:tcPr>
          <w:p w:rsidR="005C2E2B" w:rsidRDefault="005C2E2B">
            <w:pPr>
              <w:jc w:val="center"/>
              <w:rPr>
                <w:rFonts w:ascii="Arial" w:eastAsia="Arial Unicode MS" w:hAnsi="Arial" w:cs="Arial"/>
                <w:b/>
                <w:bCs/>
                <w:sz w:val="22"/>
                <w:szCs w:val="22"/>
              </w:rPr>
            </w:pPr>
          </w:p>
        </w:tc>
        <w:tc>
          <w:tcPr>
            <w:tcW w:w="0" w:type="auto"/>
            <w:tcBorders>
              <w:top w:val="nil"/>
              <w:left w:val="nil"/>
              <w:bottom w:val="nil"/>
              <w:right w:val="nil"/>
            </w:tcBorders>
            <w:noWrap/>
            <w:vAlign w:val="bottom"/>
          </w:tcPr>
          <w:p w:rsidR="005C2E2B" w:rsidRDefault="005C2E2B">
            <w:pPr>
              <w:jc w:val="center"/>
              <w:rPr>
                <w:rFonts w:ascii="Arial" w:eastAsia="Arial Unicode MS" w:hAnsi="Arial" w:cs="Arial"/>
                <w:b/>
                <w:bCs/>
                <w:sz w:val="22"/>
                <w:szCs w:val="22"/>
              </w:rPr>
            </w:pPr>
          </w:p>
        </w:tc>
        <w:tc>
          <w:tcPr>
            <w:tcW w:w="0" w:type="auto"/>
            <w:tcBorders>
              <w:top w:val="nil"/>
              <w:left w:val="nil"/>
              <w:bottom w:val="nil"/>
              <w:right w:val="single" w:sz="4" w:space="0" w:color="auto"/>
            </w:tcBorders>
            <w:noWrap/>
            <w:vAlign w:val="bottom"/>
          </w:tcPr>
          <w:p w:rsidR="005C2E2B" w:rsidRDefault="00B01030">
            <w:pPr>
              <w:jc w:val="center"/>
              <w:rPr>
                <w:rFonts w:ascii="Arial" w:eastAsia="Arial Unicode MS" w:hAnsi="Arial" w:cs="Arial"/>
                <w:b/>
                <w:bCs/>
                <w:sz w:val="22"/>
                <w:szCs w:val="22"/>
              </w:rPr>
            </w:pPr>
            <w:r>
              <w:rPr>
                <w:rFonts w:ascii="Arial" w:hAnsi="Arial" w:cs="Arial"/>
                <w:b/>
                <w:bCs/>
                <w:sz w:val="22"/>
                <w:szCs w:val="22"/>
              </w:rPr>
              <w:t> </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b/>
                <w:bCs/>
                <w:i/>
                <w:iCs/>
                <w:sz w:val="19"/>
                <w:szCs w:val="19"/>
              </w:rPr>
            </w:pPr>
            <w:r>
              <w:rPr>
                <w:rFonts w:ascii="Arial" w:hAnsi="Arial" w:cs="Arial"/>
                <w:b/>
                <w:bCs/>
                <w:i/>
                <w:iCs/>
                <w:sz w:val="19"/>
                <w:szCs w:val="19"/>
              </w:rPr>
              <w:t>Million YTL</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b/>
                <w:bCs/>
                <w:sz w:val="20"/>
                <w:szCs w:val="20"/>
              </w:rPr>
            </w:pPr>
          </w:p>
        </w:tc>
        <w:tc>
          <w:tcPr>
            <w:tcW w:w="0" w:type="auto"/>
            <w:tcBorders>
              <w:top w:val="nil"/>
              <w:left w:val="single" w:sz="4" w:space="0" w:color="auto"/>
              <w:bottom w:val="nil"/>
              <w:right w:val="nil"/>
            </w:tcBorders>
            <w:noWrap/>
            <w:vAlign w:val="bottom"/>
          </w:tcPr>
          <w:p w:rsidR="005C2E2B" w:rsidRDefault="00B01030">
            <w:pPr>
              <w:jc w:val="right"/>
              <w:rPr>
                <w:rFonts w:ascii="Arial" w:eastAsia="Arial Unicode MS" w:hAnsi="Arial" w:cs="Arial"/>
                <w:b/>
                <w:bCs/>
                <w:sz w:val="20"/>
                <w:szCs w:val="20"/>
              </w:rPr>
            </w:pPr>
            <w:r>
              <w:rPr>
                <w:rFonts w:ascii="Arial" w:hAnsi="Arial" w:cs="Arial"/>
                <w:b/>
                <w:bCs/>
                <w:sz w:val="20"/>
                <w:szCs w:val="20"/>
              </w:rPr>
              <w:t>31 Dec. 05</w:t>
            </w:r>
          </w:p>
        </w:tc>
        <w:tc>
          <w:tcPr>
            <w:tcW w:w="0" w:type="auto"/>
            <w:tcBorders>
              <w:top w:val="nil"/>
              <w:left w:val="nil"/>
              <w:bottom w:val="nil"/>
              <w:right w:val="nil"/>
            </w:tcBorders>
            <w:noWrap/>
            <w:vAlign w:val="bottom"/>
          </w:tcPr>
          <w:p w:rsidR="005C2E2B" w:rsidRDefault="005C2E2B">
            <w:pPr>
              <w:rPr>
                <w:rFonts w:ascii="Arial" w:eastAsia="Arial Unicode MS" w:hAnsi="Arial" w:cs="Arial"/>
                <w:b/>
                <w:bCs/>
                <w:sz w:val="20"/>
                <w:szCs w:val="20"/>
              </w:rPr>
            </w:pPr>
          </w:p>
        </w:tc>
        <w:tc>
          <w:tcPr>
            <w:tcW w:w="0" w:type="auto"/>
            <w:tcBorders>
              <w:top w:val="nil"/>
              <w:left w:val="nil"/>
              <w:bottom w:val="nil"/>
              <w:right w:val="nil"/>
            </w:tcBorders>
            <w:noWrap/>
            <w:vAlign w:val="bottom"/>
          </w:tcPr>
          <w:p w:rsidR="005C2E2B" w:rsidRDefault="00B01030">
            <w:pPr>
              <w:jc w:val="right"/>
              <w:rPr>
                <w:rFonts w:ascii="Arial" w:eastAsia="Arial Unicode MS" w:hAnsi="Arial" w:cs="Arial"/>
                <w:b/>
                <w:bCs/>
                <w:sz w:val="20"/>
                <w:szCs w:val="20"/>
              </w:rPr>
            </w:pPr>
            <w:r>
              <w:rPr>
                <w:rFonts w:ascii="Arial" w:hAnsi="Arial" w:cs="Arial"/>
                <w:b/>
                <w:bCs/>
                <w:sz w:val="20"/>
                <w:szCs w:val="20"/>
              </w:rPr>
              <w:t>31 Dec. 04</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jc w:val="center"/>
              <w:rPr>
                <w:rFonts w:ascii="Arial" w:eastAsia="Arial Unicode MS" w:hAnsi="Arial" w:cs="Arial"/>
                <w:b/>
                <w:bCs/>
                <w:sz w:val="20"/>
                <w:szCs w:val="20"/>
              </w:rPr>
            </w:pPr>
            <w:r>
              <w:rPr>
                <w:rFonts w:ascii="Arial" w:hAnsi="Arial" w:cs="Arial"/>
                <w:b/>
                <w:bCs/>
                <w:sz w:val="20"/>
                <w:szCs w:val="20"/>
              </w:rPr>
              <w:t>Change</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16"/>
                <w:szCs w:val="16"/>
              </w:rPr>
            </w:pPr>
            <w:r>
              <w:rPr>
                <w:rFonts w:ascii="Arial" w:hAnsi="Arial" w:cs="Arial"/>
                <w:sz w:val="16"/>
                <w:szCs w:val="16"/>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Liquid Assets</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1,490</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1,790</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-16.7%</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gridSpan w:val="2"/>
            <w:tcBorders>
              <w:top w:val="nil"/>
              <w:left w:val="single" w:sz="4" w:space="0" w:color="auto"/>
              <w:bottom w:val="nil"/>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Securities</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1,189</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443</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168.5%</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Loans</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3,842</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2,360</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62.8%</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Deposit</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4,306</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3,263</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32.0%</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Repo</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757</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156</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385.9%</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Equities</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508</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416</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22.1%</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Total Assets</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6,963</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4,938</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41.0%</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Net Interest Income</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257</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206</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24.9%</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Net Profit</w:t>
            </w:r>
          </w:p>
        </w:tc>
        <w:tc>
          <w:tcPr>
            <w:tcW w:w="0" w:type="auto"/>
            <w:tcBorders>
              <w:top w:val="nil"/>
              <w:left w:val="nil"/>
              <w:bottom w:val="single" w:sz="4" w:space="0" w:color="auto"/>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single" w:sz="4" w:space="0" w:color="auto"/>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102</w:t>
            </w:r>
          </w:p>
        </w:tc>
        <w:tc>
          <w:tcPr>
            <w:tcW w:w="0" w:type="auto"/>
            <w:tcBorders>
              <w:top w:val="nil"/>
              <w:left w:val="nil"/>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single" w:sz="4" w:space="0" w:color="auto"/>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53</w:t>
            </w:r>
          </w:p>
        </w:tc>
        <w:tc>
          <w:tcPr>
            <w:tcW w:w="0" w:type="auto"/>
            <w:tcBorders>
              <w:top w:val="nil"/>
              <w:left w:val="nil"/>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single" w:sz="4" w:space="0" w:color="auto"/>
              <w:right w:val="single" w:sz="4" w:space="0" w:color="auto"/>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91.1%</w:t>
            </w:r>
          </w:p>
        </w:tc>
      </w:tr>
      <w:tr w:rsidR="005C2E2B">
        <w:trPr>
          <w:trHeight w:val="255"/>
        </w:trPr>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r>
      <w:tr w:rsidR="005C2E2B">
        <w:trPr>
          <w:trHeight w:val="255"/>
        </w:trPr>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r>
      <w:tr w:rsidR="005C2E2B">
        <w:trPr>
          <w:trHeight w:val="255"/>
        </w:trPr>
        <w:tc>
          <w:tcPr>
            <w:tcW w:w="0" w:type="auto"/>
            <w:gridSpan w:val="2"/>
            <w:tcBorders>
              <w:top w:val="single" w:sz="4" w:space="0" w:color="auto"/>
              <w:left w:val="single" w:sz="4" w:space="0" w:color="auto"/>
              <w:bottom w:val="nil"/>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Loans/Deposit</w:t>
            </w:r>
          </w:p>
        </w:tc>
        <w:tc>
          <w:tcPr>
            <w:tcW w:w="0" w:type="auto"/>
            <w:tcBorders>
              <w:top w:val="single" w:sz="4" w:space="0" w:color="auto"/>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single" w:sz="4" w:space="0" w:color="auto"/>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89.2%</w:t>
            </w:r>
          </w:p>
        </w:tc>
        <w:tc>
          <w:tcPr>
            <w:tcW w:w="0" w:type="auto"/>
            <w:tcBorders>
              <w:top w:val="single" w:sz="4" w:space="0" w:color="auto"/>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single" w:sz="4" w:space="0" w:color="auto"/>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72.3%</w:t>
            </w:r>
          </w:p>
        </w:tc>
        <w:tc>
          <w:tcPr>
            <w:tcW w:w="0" w:type="auto"/>
            <w:tcBorders>
              <w:top w:val="single" w:sz="4" w:space="0" w:color="auto"/>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single" w:sz="4" w:space="0" w:color="auto"/>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gridSpan w:val="2"/>
            <w:tcBorders>
              <w:top w:val="nil"/>
              <w:left w:val="single" w:sz="4" w:space="0" w:color="auto"/>
              <w:bottom w:val="nil"/>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Loans Watched</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0.9%</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0.9%</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gridSpan w:val="2"/>
            <w:tcBorders>
              <w:top w:val="nil"/>
              <w:left w:val="single" w:sz="4" w:space="0" w:color="auto"/>
              <w:bottom w:val="nil"/>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Assets Productivity</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1.7%</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1.1%</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gridSpan w:val="2"/>
            <w:tcBorders>
              <w:top w:val="nil"/>
              <w:left w:val="single" w:sz="4" w:space="0" w:color="auto"/>
              <w:bottom w:val="nil"/>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Equities Productivity</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22.1%</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13.7%</w:t>
            </w:r>
          </w:p>
        </w:tc>
        <w:tc>
          <w:tcPr>
            <w:tcW w:w="0" w:type="auto"/>
            <w:tcBorders>
              <w:top w:val="nil"/>
              <w:left w:val="nil"/>
              <w:bottom w:val="nil"/>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single" w:sz="4" w:space="0" w:color="auto"/>
              <w:bottom w:val="nil"/>
              <w:right w:val="nil"/>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nil"/>
            </w:tcBorders>
            <w:noWrap/>
            <w:vAlign w:val="bottom"/>
          </w:tcPr>
          <w:p w:rsidR="005C2E2B" w:rsidRDefault="005C2E2B">
            <w:pPr>
              <w:rPr>
                <w:rFonts w:ascii="Arial" w:eastAsia="Arial Unicode MS" w:hAnsi="Arial" w:cs="Arial"/>
                <w:sz w:val="20"/>
                <w:szCs w:val="20"/>
              </w:rPr>
            </w:pPr>
          </w:p>
        </w:tc>
        <w:tc>
          <w:tcPr>
            <w:tcW w:w="0" w:type="auto"/>
            <w:tcBorders>
              <w:top w:val="nil"/>
              <w:left w:val="nil"/>
              <w:bottom w:val="nil"/>
              <w:right w:val="single" w:sz="4" w:space="0" w:color="auto"/>
            </w:tcBorders>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r w:rsidR="005C2E2B">
        <w:trPr>
          <w:trHeight w:val="255"/>
        </w:trPr>
        <w:tc>
          <w:tcPr>
            <w:tcW w:w="0" w:type="auto"/>
            <w:gridSpan w:val="2"/>
            <w:tcBorders>
              <w:top w:val="nil"/>
              <w:left w:val="single" w:sz="4" w:space="0" w:color="auto"/>
              <w:bottom w:val="single" w:sz="4" w:space="0" w:color="auto"/>
              <w:right w:val="single" w:sz="4" w:space="0" w:color="000000"/>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Adjusted Net Interest Margin</w:t>
            </w:r>
          </w:p>
        </w:tc>
        <w:tc>
          <w:tcPr>
            <w:tcW w:w="0" w:type="auto"/>
            <w:tcBorders>
              <w:top w:val="nil"/>
              <w:left w:val="nil"/>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single" w:sz="4" w:space="0" w:color="auto"/>
              <w:bottom w:val="single" w:sz="4" w:space="0" w:color="auto"/>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3.9%</w:t>
            </w:r>
          </w:p>
        </w:tc>
        <w:tc>
          <w:tcPr>
            <w:tcW w:w="0" w:type="auto"/>
            <w:tcBorders>
              <w:top w:val="nil"/>
              <w:left w:val="nil"/>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single" w:sz="4" w:space="0" w:color="auto"/>
              <w:right w:val="nil"/>
            </w:tcBorders>
            <w:shd w:val="clear" w:color="auto" w:fill="CCFFFF"/>
            <w:noWrap/>
            <w:vAlign w:val="bottom"/>
          </w:tcPr>
          <w:p w:rsidR="005C2E2B" w:rsidRDefault="00B01030">
            <w:pPr>
              <w:jc w:val="right"/>
              <w:rPr>
                <w:rFonts w:ascii="Arial" w:eastAsia="Arial Unicode MS" w:hAnsi="Arial" w:cs="Arial"/>
                <w:sz w:val="20"/>
                <w:szCs w:val="20"/>
              </w:rPr>
            </w:pPr>
            <w:r>
              <w:rPr>
                <w:rFonts w:ascii="Arial" w:hAnsi="Arial" w:cs="Arial"/>
                <w:sz w:val="20"/>
                <w:szCs w:val="20"/>
              </w:rPr>
              <w:t>3.8%</w:t>
            </w:r>
          </w:p>
        </w:tc>
        <w:tc>
          <w:tcPr>
            <w:tcW w:w="0" w:type="auto"/>
            <w:tcBorders>
              <w:top w:val="nil"/>
              <w:left w:val="nil"/>
              <w:bottom w:val="single" w:sz="4" w:space="0" w:color="auto"/>
              <w:right w:val="nil"/>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c>
          <w:tcPr>
            <w:tcW w:w="0" w:type="auto"/>
            <w:tcBorders>
              <w:top w:val="nil"/>
              <w:left w:val="nil"/>
              <w:bottom w:val="single" w:sz="4" w:space="0" w:color="auto"/>
              <w:right w:val="single" w:sz="4" w:space="0" w:color="auto"/>
            </w:tcBorders>
            <w:shd w:val="clear" w:color="auto" w:fill="CCFFFF"/>
            <w:noWrap/>
            <w:vAlign w:val="bottom"/>
          </w:tcPr>
          <w:p w:rsidR="005C2E2B" w:rsidRDefault="00B01030">
            <w:pPr>
              <w:rPr>
                <w:rFonts w:ascii="Arial" w:eastAsia="Arial Unicode MS" w:hAnsi="Arial" w:cs="Arial"/>
                <w:sz w:val="20"/>
                <w:szCs w:val="20"/>
              </w:rPr>
            </w:pPr>
            <w:r>
              <w:rPr>
                <w:rFonts w:ascii="Arial" w:hAnsi="Arial" w:cs="Arial"/>
                <w:sz w:val="20"/>
                <w:szCs w:val="20"/>
              </w:rPr>
              <w:t> </w:t>
            </w:r>
          </w:p>
        </w:tc>
      </w:tr>
    </w:tbl>
    <w:p w:rsidR="005C2E2B" w:rsidRDefault="005C2E2B">
      <w:pPr>
        <w:jc w:val="both"/>
        <w:rPr>
          <w:sz w:val="22"/>
        </w:rPr>
      </w:pPr>
    </w:p>
    <w:p w:rsidR="005C2E2B" w:rsidRDefault="005C2E2B">
      <w:pPr>
        <w:jc w:val="both"/>
        <w:rPr>
          <w:sz w:val="22"/>
        </w:rPr>
      </w:pPr>
    </w:p>
    <w:p w:rsidR="005C2E2B" w:rsidRDefault="005C2E2B">
      <w:pPr>
        <w:jc w:val="both"/>
        <w:rPr>
          <w:sz w:val="22"/>
        </w:rPr>
      </w:pPr>
    </w:p>
    <w:p w:rsidR="005C2E2B" w:rsidRDefault="00B01030">
      <w:pPr>
        <w:jc w:val="both"/>
        <w:rPr>
          <w:b/>
          <w:bCs/>
          <w:sz w:val="22"/>
        </w:rPr>
      </w:pPr>
      <w:r>
        <w:rPr>
          <w:b/>
          <w:bCs/>
          <w:sz w:val="22"/>
        </w:rPr>
        <w:t>EVALUATION OF RESULTS:</w:t>
      </w:r>
    </w:p>
    <w:p w:rsidR="005C2E2B" w:rsidRDefault="005C2E2B">
      <w:pPr>
        <w:jc w:val="both"/>
        <w:rPr>
          <w:sz w:val="22"/>
        </w:rPr>
      </w:pPr>
    </w:p>
    <w:p w:rsidR="005C2E2B" w:rsidRDefault="00B01030">
      <w:pPr>
        <w:pStyle w:val="BodyText"/>
        <w:rPr>
          <w:lang w:val="en-US"/>
        </w:rPr>
      </w:pPr>
      <w:r>
        <w:rPr>
          <w:lang w:val="en-US"/>
        </w:rPr>
        <w:t xml:space="preserve">As is known, a partnership agreement was signed between TEB Financial Investments PLC, the principal shareholder in our bank, and the BNP Paribas, the world’s sixth largest bank, on 10 February 2005. As a result of this agreement </w:t>
      </w:r>
      <w:r>
        <w:rPr>
          <w:lang w:val="en-US"/>
        </w:rPr>
        <w:t>under which each party took a 50% share, the BNP Paribas became an indirect partner also in our bank with a share of 42.12%.</w:t>
      </w:r>
    </w:p>
    <w:p w:rsidR="005C2E2B" w:rsidRDefault="005C2E2B">
      <w:pPr>
        <w:pStyle w:val="BodyText"/>
        <w:rPr>
          <w:lang w:val="en-US"/>
        </w:rPr>
      </w:pPr>
    </w:p>
    <w:p w:rsidR="005C2E2B" w:rsidRDefault="00B01030">
      <w:pPr>
        <w:pStyle w:val="BodyText"/>
        <w:rPr>
          <w:lang w:val="en-US"/>
        </w:rPr>
      </w:pPr>
      <w:r>
        <w:rPr>
          <w:lang w:val="en-US"/>
        </w:rPr>
        <w:t>This partnership is not the outcome of an approach or expectation whereby one group takes over the other and gets the upper hand i</w:t>
      </w:r>
      <w:r>
        <w:rPr>
          <w:lang w:val="en-US"/>
        </w:rPr>
        <w:t>n management. Rather, it is a strategic cooperation in which “TEB,” one of the reputable and strong brands in the Turkish banking sector, and “BNP Paribas,” a brand of international renown, united their strengths and experiences in different fields.</w:t>
      </w:r>
    </w:p>
    <w:p w:rsidR="005C2E2B" w:rsidRDefault="005C2E2B">
      <w:pPr>
        <w:pStyle w:val="BodyText"/>
        <w:rPr>
          <w:lang w:val="en-US"/>
        </w:rPr>
      </w:pPr>
    </w:p>
    <w:p w:rsidR="005C2E2B" w:rsidRDefault="00B01030">
      <w:pPr>
        <w:pStyle w:val="BodyText"/>
        <w:rPr>
          <w:lang w:val="en-US"/>
        </w:rPr>
      </w:pPr>
      <w:r>
        <w:rPr>
          <w:lang w:val="en-US"/>
        </w:rPr>
        <w:t>The g</w:t>
      </w:r>
      <w:r>
        <w:rPr>
          <w:lang w:val="en-US"/>
        </w:rPr>
        <w:t>oal of this cooperation, in addition to the emergence of a far more powerful Turkish bank, is to make BNP Paribas’s accumulation of international know-how, services, and products to a much broader audience and to elevate the “TEB” brand to international di</w:t>
      </w:r>
      <w:r>
        <w:rPr>
          <w:lang w:val="en-US"/>
        </w:rPr>
        <w:t>mensions.</w:t>
      </w:r>
    </w:p>
    <w:p w:rsidR="005C2E2B" w:rsidRDefault="005C2E2B">
      <w:pPr>
        <w:pStyle w:val="BodyText"/>
        <w:rPr>
          <w:lang w:val="en-US"/>
        </w:rPr>
      </w:pPr>
    </w:p>
    <w:p w:rsidR="005C2E2B" w:rsidRDefault="00B01030">
      <w:pPr>
        <w:jc w:val="both"/>
        <w:rPr>
          <w:sz w:val="22"/>
        </w:rPr>
      </w:pPr>
      <w:r>
        <w:rPr>
          <w:sz w:val="22"/>
        </w:rPr>
        <w:t>In fact, the impact of our products and services that assumed an even greater diversity in the aftermath of the partnership are already reflected in the 2005 results as demonstrated above. </w:t>
      </w:r>
    </w:p>
    <w:p w:rsidR="005C2E2B" w:rsidRDefault="005C2E2B">
      <w:pPr>
        <w:jc w:val="both"/>
        <w:rPr>
          <w:sz w:val="22"/>
        </w:rPr>
      </w:pPr>
    </w:p>
    <w:p w:rsidR="005C2E2B" w:rsidRDefault="005C2E2B">
      <w:pPr>
        <w:rPr>
          <w:rFonts w:ascii="Arial" w:hAnsi="Arial" w:cs="Arial"/>
          <w:i/>
          <w:iCs/>
          <w:sz w:val="20"/>
          <w:szCs w:val="20"/>
        </w:rPr>
      </w:pPr>
    </w:p>
    <w:p w:rsidR="005C2E2B" w:rsidRDefault="00B01030">
      <w:pPr>
        <w:pStyle w:val="BodyText2"/>
        <w:rPr>
          <w:lang w:val="en-US"/>
        </w:rPr>
      </w:pPr>
      <w:r>
        <w:rPr>
          <w:lang w:val="en-US"/>
        </w:rPr>
        <w:t xml:space="preserve">CORE OPERATIONS: </w:t>
      </w:r>
    </w:p>
    <w:p w:rsidR="005C2E2B" w:rsidRDefault="00B01030">
      <w:pPr>
        <w:jc w:val="both"/>
        <w:rPr>
          <w:sz w:val="22"/>
        </w:rPr>
      </w:pPr>
      <w:r>
        <w:rPr>
          <w:sz w:val="22"/>
        </w:rPr>
        <w:t> </w:t>
      </w:r>
    </w:p>
    <w:p w:rsidR="005C2E2B" w:rsidRDefault="00B01030">
      <w:pPr>
        <w:tabs>
          <w:tab w:val="left" w:pos="2880"/>
        </w:tabs>
        <w:autoSpaceDE w:val="0"/>
        <w:autoSpaceDN w:val="0"/>
        <w:adjustRightInd w:val="0"/>
        <w:jc w:val="both"/>
        <w:rPr>
          <w:b/>
          <w:bCs/>
          <w:color w:val="0000FF"/>
          <w:sz w:val="22"/>
        </w:rPr>
      </w:pPr>
      <w:r>
        <w:rPr>
          <w:b/>
          <w:bCs/>
          <w:sz w:val="22"/>
        </w:rPr>
        <w:t>Corporate Banking</w:t>
      </w:r>
      <w:r>
        <w:rPr>
          <w:b/>
          <w:bCs/>
          <w:sz w:val="22"/>
        </w:rPr>
        <w:tab/>
        <w:t>:</w:t>
      </w:r>
      <w:r>
        <w:rPr>
          <w:sz w:val="22"/>
        </w:rPr>
        <w:t xml:space="preserve"> Our Corporate</w:t>
      </w:r>
      <w:r>
        <w:rPr>
          <w:sz w:val="22"/>
        </w:rPr>
        <w:t xml:space="preserve"> Banking operations, initiated upon the observation that the diversified needs and expectations of domestic and foreign firms with turnovers exceeding a certain magnitude necessitate a separate field of specialization and service in its own right, and enjo</w:t>
      </w:r>
      <w:r>
        <w:rPr>
          <w:sz w:val="22"/>
        </w:rPr>
        <w:t>ying a distinctive and noteworthy standing in the sector made possible thanks to our relations cultivated over many years, continue to lead the market also in 2005 backed up with our Cash Management services. We continue to enrich our cash management servi</w:t>
      </w:r>
      <w:r>
        <w:rPr>
          <w:sz w:val="22"/>
        </w:rPr>
        <w:t>ces with the cash management products of BNP Paribas. Our cash management products have already crossed the country’s borders and acquired international dimensions.</w:t>
      </w:r>
      <w:r>
        <w:rPr>
          <w:color w:val="0000FF"/>
          <w:sz w:val="22"/>
        </w:rPr>
        <w:t xml:space="preserve">  </w:t>
      </w:r>
    </w:p>
    <w:p w:rsidR="005C2E2B" w:rsidRDefault="005C2E2B">
      <w:pPr>
        <w:tabs>
          <w:tab w:val="left" w:pos="3420"/>
        </w:tabs>
        <w:autoSpaceDE w:val="0"/>
        <w:autoSpaceDN w:val="0"/>
        <w:adjustRightInd w:val="0"/>
        <w:jc w:val="both"/>
        <w:rPr>
          <w:b/>
          <w:bCs/>
          <w:sz w:val="22"/>
        </w:rPr>
      </w:pPr>
    </w:p>
    <w:p w:rsidR="005C2E2B" w:rsidRDefault="00B01030">
      <w:pPr>
        <w:tabs>
          <w:tab w:val="left" w:pos="2880"/>
          <w:tab w:val="left" w:pos="3420"/>
        </w:tabs>
        <w:autoSpaceDE w:val="0"/>
        <w:autoSpaceDN w:val="0"/>
        <w:adjustRightInd w:val="0"/>
        <w:jc w:val="both"/>
        <w:rPr>
          <w:sz w:val="22"/>
        </w:rPr>
      </w:pPr>
      <w:r>
        <w:rPr>
          <w:b/>
          <w:bCs/>
          <w:sz w:val="22"/>
        </w:rPr>
        <w:t>Cash Management</w:t>
      </w:r>
      <w:r>
        <w:rPr>
          <w:b/>
          <w:bCs/>
          <w:sz w:val="22"/>
        </w:rPr>
        <w:tab/>
        <w:t>:</w:t>
      </w:r>
      <w:r>
        <w:rPr>
          <w:sz w:val="22"/>
        </w:rPr>
        <w:t xml:space="preserve">  Our Cash Management Department that operates in the fields of making </w:t>
      </w:r>
      <w:r>
        <w:rPr>
          <w:sz w:val="22"/>
        </w:rPr>
        <w:t xml:space="preserve">the collection and payment transactions of our Corporate and Commercial customers more effective, and collecting the revenues and managing the cash flow of organizations making their sales through dealer networks / regional directorships, will continue to </w:t>
      </w:r>
      <w:r>
        <w:rPr>
          <w:sz w:val="22"/>
        </w:rPr>
        <w:t>diversify its client portfolio and service range in 2006 with the international cash management network and products of BNP Paribas using a technology-intensive infrastructure.</w:t>
      </w:r>
    </w:p>
    <w:p w:rsidR="005C2E2B" w:rsidRDefault="005C2E2B">
      <w:pPr>
        <w:tabs>
          <w:tab w:val="left" w:pos="2880"/>
          <w:tab w:val="left" w:pos="3420"/>
        </w:tabs>
        <w:autoSpaceDE w:val="0"/>
        <w:autoSpaceDN w:val="0"/>
        <w:adjustRightInd w:val="0"/>
        <w:jc w:val="both"/>
        <w:rPr>
          <w:rFonts w:ascii="Times New Roman TUR" w:hAnsi="Times New Roman TUR" w:cs="Times New Roman TUR"/>
          <w:color w:val="0000FF"/>
          <w:sz w:val="22"/>
        </w:rPr>
      </w:pPr>
    </w:p>
    <w:p w:rsidR="005C2E2B" w:rsidRDefault="00B01030">
      <w:pPr>
        <w:jc w:val="both"/>
        <w:rPr>
          <w:bCs/>
          <w:sz w:val="22"/>
          <w:szCs w:val="22"/>
        </w:rPr>
      </w:pPr>
      <w:r>
        <w:rPr>
          <w:b/>
          <w:bCs/>
          <w:sz w:val="22"/>
          <w:szCs w:val="22"/>
        </w:rPr>
        <w:t>Foreign Trade Transactions</w:t>
      </w:r>
      <w:r>
        <w:rPr>
          <w:b/>
          <w:bCs/>
          <w:sz w:val="22"/>
          <w:szCs w:val="22"/>
        </w:rPr>
        <w:tab/>
        <w:t xml:space="preserve">:   </w:t>
      </w:r>
      <w:r>
        <w:rPr>
          <w:sz w:val="22"/>
          <w:szCs w:val="22"/>
        </w:rPr>
        <w:t xml:space="preserve">Commanding a sizable 6% share of our country’s </w:t>
      </w:r>
      <w:r>
        <w:rPr>
          <w:sz w:val="22"/>
          <w:szCs w:val="22"/>
        </w:rPr>
        <w:t>foreign trade, our bank has the objective of expanding this share by enhancing its expertise in this field with our partner BNP Paribas’s network of branches in 85 countries and the Trade Centers in the focal locations of Istanbul, Izmir, and Adana where w</w:t>
      </w:r>
      <w:r>
        <w:rPr>
          <w:sz w:val="22"/>
          <w:szCs w:val="22"/>
        </w:rPr>
        <w:t>e impart to our clients our expertise in the subject and offer consultancy services to all customers across the country who are engaged in foreign trade, not to mention the Turkish Desk in Algeria opened as a part of BNP Paribas Algeria and the strategic p</w:t>
      </w:r>
      <w:r>
        <w:rPr>
          <w:sz w:val="22"/>
          <w:szCs w:val="22"/>
        </w:rPr>
        <w:t xml:space="preserve">artnership concluded with the world’s oldest bank in operation, the </w:t>
      </w:r>
      <w:r>
        <w:rPr>
          <w:bCs/>
          <w:sz w:val="22"/>
          <w:szCs w:val="22"/>
        </w:rPr>
        <w:t>Monte dei Paschi di Siena.</w:t>
      </w:r>
    </w:p>
    <w:p w:rsidR="005C2E2B" w:rsidRDefault="00B01030">
      <w:pPr>
        <w:jc w:val="both"/>
        <w:rPr>
          <w:color w:val="0000FF"/>
          <w:sz w:val="22"/>
        </w:rPr>
      </w:pPr>
      <w:r>
        <w:rPr>
          <w:color w:val="0000FF"/>
          <w:sz w:val="22"/>
        </w:rPr>
        <w:t xml:space="preserve"> </w:t>
      </w:r>
    </w:p>
    <w:p w:rsidR="005C2E2B" w:rsidRDefault="00B01030">
      <w:pPr>
        <w:jc w:val="both"/>
        <w:rPr>
          <w:color w:val="0000FF"/>
          <w:sz w:val="22"/>
        </w:rPr>
      </w:pPr>
      <w:r>
        <w:rPr>
          <w:b/>
          <w:bCs/>
          <w:sz w:val="22"/>
        </w:rPr>
        <w:t>Commercial Banking                  :</w:t>
      </w:r>
      <w:r>
        <w:rPr>
          <w:sz w:val="22"/>
        </w:rPr>
        <w:t xml:space="preserve">  Our Commercial Banking services which, in a sense, complement our Corporate Banking services and are offered to firms th</w:t>
      </w:r>
      <w:r>
        <w:rPr>
          <w:sz w:val="22"/>
        </w:rPr>
        <w:t>at are in the position of dealer / distributor / supplier to our customers in this segment as well as other medium and small size firms that satisfy our turnover and loan criteria have been restructured to embrace our composite branches also. Our objective</w:t>
      </w:r>
      <w:r>
        <w:rPr>
          <w:sz w:val="22"/>
        </w:rPr>
        <w:t xml:space="preserve"> is to keep up this growth trend by increasing its intensity in new fields of business and</w:t>
      </w:r>
      <w:r>
        <w:rPr>
          <w:color w:val="0000FF"/>
          <w:sz w:val="22"/>
        </w:rPr>
        <w:t xml:space="preserve"> </w:t>
      </w:r>
      <w:r>
        <w:rPr>
          <w:sz w:val="22"/>
        </w:rPr>
        <w:t>medium and small size companies. With the KOBİ (small-to-medium sized businesses) package it introduced in 2005, TEB earned itself a distinctive position in the sect</w:t>
      </w:r>
      <w:r>
        <w:rPr>
          <w:sz w:val="22"/>
        </w:rPr>
        <w:t xml:space="preserve">or by offering its customers not only dedicated products but also non-banking products, training, consultancy, and accounting </w:t>
      </w:r>
      <w:r>
        <w:rPr>
          <w:sz w:val="22"/>
        </w:rPr>
        <w:lastRenderedPageBreak/>
        <w:t>solutions. As a result, the loans extended to small and medium size companies now account for nearly one half of our total loan po</w:t>
      </w:r>
      <w:r>
        <w:rPr>
          <w:sz w:val="22"/>
        </w:rPr>
        <w:t>rtfolio. Our Commercial Banking operations are conducted in 79 composite branches offering commercial and individual banking services together.</w:t>
      </w:r>
      <w:r>
        <w:rPr>
          <w:color w:val="0000FF"/>
          <w:sz w:val="22"/>
        </w:rPr>
        <w:t xml:space="preserve"> </w:t>
      </w:r>
    </w:p>
    <w:p w:rsidR="005C2E2B" w:rsidRDefault="005C2E2B">
      <w:pPr>
        <w:jc w:val="both"/>
        <w:rPr>
          <w:b/>
          <w:bCs/>
          <w:color w:val="0000FF"/>
          <w:sz w:val="22"/>
        </w:rPr>
      </w:pPr>
    </w:p>
    <w:p w:rsidR="005C2E2B" w:rsidRDefault="005C2E2B">
      <w:pPr>
        <w:jc w:val="both"/>
        <w:rPr>
          <w:color w:val="0000FF"/>
          <w:sz w:val="22"/>
        </w:rPr>
      </w:pPr>
    </w:p>
    <w:p w:rsidR="005C2E2B" w:rsidRDefault="00B01030">
      <w:pPr>
        <w:tabs>
          <w:tab w:val="left" w:pos="2880"/>
        </w:tabs>
        <w:autoSpaceDE w:val="0"/>
        <w:autoSpaceDN w:val="0"/>
        <w:adjustRightInd w:val="0"/>
        <w:jc w:val="both"/>
        <w:rPr>
          <w:sz w:val="22"/>
        </w:rPr>
      </w:pPr>
      <w:r>
        <w:rPr>
          <w:b/>
          <w:bCs/>
          <w:sz w:val="22"/>
        </w:rPr>
        <w:t xml:space="preserve">Individual Banking        </w:t>
      </w:r>
      <w:r>
        <w:rPr>
          <w:b/>
          <w:bCs/>
          <w:sz w:val="22"/>
        </w:rPr>
        <w:tab/>
        <w:t>:</w:t>
      </w:r>
      <w:r>
        <w:rPr>
          <w:sz w:val="22"/>
        </w:rPr>
        <w:t xml:space="preserve"> Enhanced with the accumulated know-how, technological infrastructure, and produc</w:t>
      </w:r>
      <w:r>
        <w:rPr>
          <w:sz w:val="22"/>
        </w:rPr>
        <w:t>t range of BNP Paribas, the strongest consumer financing bank in continental Europe, as well as our traditional services and products, our Individual Banking operations have been identified as our priority field of growth. TEB took some great strides as of</w:t>
      </w:r>
      <w:r>
        <w:rPr>
          <w:sz w:val="22"/>
        </w:rPr>
        <w:t xml:space="preserve"> the second half of 2005 with the products developed in conjunction with BNP Paribas and registered growth rates far ahead of the sector in selected fields (Examples: TEB’s growth in home loans 761% as opposed to 368% in sector; TEB’s growth in vehicle loa</w:t>
      </w:r>
      <w:r>
        <w:rPr>
          <w:sz w:val="22"/>
        </w:rPr>
        <w:t>ns 365% as opposed to 41% in sector.) We will continue to expand our share in the market with new products in 2006 preserving the same momentum.</w:t>
      </w:r>
    </w:p>
    <w:p w:rsidR="005C2E2B" w:rsidRDefault="005C2E2B">
      <w:pPr>
        <w:tabs>
          <w:tab w:val="left" w:pos="2880"/>
        </w:tabs>
        <w:autoSpaceDE w:val="0"/>
        <w:autoSpaceDN w:val="0"/>
        <w:adjustRightInd w:val="0"/>
        <w:jc w:val="both"/>
        <w:rPr>
          <w:color w:val="0000FF"/>
          <w:sz w:val="22"/>
        </w:rPr>
      </w:pPr>
    </w:p>
    <w:p w:rsidR="005C2E2B" w:rsidRDefault="005C2E2B">
      <w:pPr>
        <w:autoSpaceDE w:val="0"/>
        <w:autoSpaceDN w:val="0"/>
        <w:adjustRightInd w:val="0"/>
        <w:jc w:val="both"/>
        <w:rPr>
          <w:b/>
          <w:bCs/>
          <w:color w:val="0000FF"/>
          <w:sz w:val="22"/>
        </w:rPr>
      </w:pPr>
    </w:p>
    <w:p w:rsidR="005C2E2B" w:rsidRDefault="00B01030">
      <w:pPr>
        <w:pStyle w:val="BodyText"/>
        <w:tabs>
          <w:tab w:val="left" w:pos="2880"/>
        </w:tabs>
        <w:autoSpaceDE w:val="0"/>
        <w:autoSpaceDN w:val="0"/>
        <w:adjustRightInd w:val="0"/>
        <w:rPr>
          <w:color w:val="0000FF"/>
          <w:lang w:val="en-US"/>
        </w:rPr>
      </w:pPr>
      <w:r>
        <w:rPr>
          <w:b/>
          <w:bCs/>
          <w:lang w:val="en-US"/>
        </w:rPr>
        <w:t>Business Banking</w:t>
      </w:r>
      <w:r>
        <w:rPr>
          <w:b/>
          <w:bCs/>
          <w:lang w:val="en-US"/>
        </w:rPr>
        <w:tab/>
        <w:t>:</w:t>
      </w:r>
      <w:r>
        <w:rPr>
          <w:lang w:val="en-US"/>
        </w:rPr>
        <w:t xml:space="preserve"> Yet another new field we became active in during 2005 was</w:t>
      </w:r>
      <w:r>
        <w:rPr>
          <w:lang w:val="en-US"/>
        </w:rPr>
        <w:t xml:space="preserve"> Business Banking. All infrastructure was completed in 2005 and the marketing efforts were launched in full. We aim to make Business Banking one of the major entries in our balance sheet in 2006.</w:t>
      </w:r>
      <w:r>
        <w:rPr>
          <w:color w:val="0000FF"/>
          <w:lang w:val="en-US"/>
        </w:rPr>
        <w:t xml:space="preserve"> </w:t>
      </w:r>
    </w:p>
    <w:p w:rsidR="005C2E2B" w:rsidRDefault="005C2E2B">
      <w:pPr>
        <w:tabs>
          <w:tab w:val="left" w:pos="2880"/>
        </w:tabs>
        <w:autoSpaceDE w:val="0"/>
        <w:autoSpaceDN w:val="0"/>
        <w:adjustRightInd w:val="0"/>
        <w:jc w:val="both"/>
        <w:rPr>
          <w:color w:val="0000FF"/>
          <w:sz w:val="22"/>
        </w:rPr>
      </w:pPr>
    </w:p>
    <w:p w:rsidR="005C2E2B" w:rsidRDefault="00B01030">
      <w:pPr>
        <w:tabs>
          <w:tab w:val="left" w:pos="2880"/>
        </w:tabs>
        <w:jc w:val="both"/>
        <w:rPr>
          <w:sz w:val="22"/>
        </w:rPr>
      </w:pPr>
      <w:r>
        <w:rPr>
          <w:b/>
          <w:bCs/>
          <w:sz w:val="22"/>
        </w:rPr>
        <w:t>Private Banking</w:t>
      </w:r>
      <w:r>
        <w:rPr>
          <w:b/>
          <w:bCs/>
          <w:sz w:val="22"/>
        </w:rPr>
        <w:tab/>
        <w:t>:</w:t>
      </w:r>
      <w:r>
        <w:rPr>
          <w:sz w:val="22"/>
        </w:rPr>
        <w:t xml:space="preserve">   The first bank to introduce Private Ba</w:t>
      </w:r>
      <w:r>
        <w:rPr>
          <w:sz w:val="22"/>
        </w:rPr>
        <w:t>nking in Turkey, TEB expanded its product range in this field in 2005 in such a way as to create a synergy with our subsidiary, the TEB Portfolio Management, by making available the “Assets Management” service and our special “</w:t>
      </w:r>
      <w:r>
        <w:rPr>
          <w:b/>
          <w:bCs/>
          <w:sz w:val="22"/>
        </w:rPr>
        <w:t>Platinum Fund</w:t>
      </w:r>
      <w:r>
        <w:rPr>
          <w:sz w:val="22"/>
        </w:rPr>
        <w:t>” targeting spec</w:t>
      </w:r>
      <w:r>
        <w:rPr>
          <w:sz w:val="22"/>
        </w:rPr>
        <w:t>ial customers. Our operations in this field will be backed up with new products to be developed with BNP Paribas’s synergy in 2006.</w:t>
      </w:r>
    </w:p>
    <w:p w:rsidR="005C2E2B" w:rsidRDefault="005C2E2B">
      <w:pPr>
        <w:tabs>
          <w:tab w:val="left" w:pos="2880"/>
        </w:tabs>
        <w:jc w:val="both"/>
        <w:rPr>
          <w:sz w:val="22"/>
        </w:rPr>
      </w:pPr>
    </w:p>
    <w:p w:rsidR="005C2E2B" w:rsidRDefault="00B01030">
      <w:pPr>
        <w:tabs>
          <w:tab w:val="left" w:pos="2880"/>
        </w:tabs>
        <w:jc w:val="both"/>
        <w:rPr>
          <w:sz w:val="22"/>
        </w:rPr>
      </w:pPr>
      <w:r>
        <w:rPr>
          <w:sz w:val="22"/>
        </w:rPr>
        <w:t>The “Tax Calculator” and “Tax Consultant” services we offer our Private Banking Customers serve an important function in th</w:t>
      </w:r>
      <w:r>
        <w:rPr>
          <w:sz w:val="22"/>
        </w:rPr>
        <w:t>eir investment decisions.</w:t>
      </w:r>
    </w:p>
    <w:p w:rsidR="005C2E2B" w:rsidRDefault="005C2E2B">
      <w:pPr>
        <w:tabs>
          <w:tab w:val="left" w:pos="2880"/>
        </w:tabs>
        <w:jc w:val="both"/>
        <w:rPr>
          <w:b/>
          <w:bCs/>
          <w:color w:val="0000FF"/>
          <w:sz w:val="22"/>
          <w:szCs w:val="22"/>
        </w:rPr>
      </w:pPr>
    </w:p>
    <w:p w:rsidR="005C2E2B" w:rsidRDefault="00B01030">
      <w:pPr>
        <w:pStyle w:val="BodyText2"/>
        <w:tabs>
          <w:tab w:val="left" w:pos="2880"/>
        </w:tabs>
        <w:rPr>
          <w:b w:val="0"/>
          <w:sz w:val="22"/>
          <w:szCs w:val="22"/>
          <w:lang w:val="en-US"/>
        </w:rPr>
      </w:pPr>
      <w:r>
        <w:rPr>
          <w:bCs w:val="0"/>
          <w:sz w:val="22"/>
          <w:szCs w:val="22"/>
          <w:lang w:val="en-US"/>
        </w:rPr>
        <w:t>Our Ratings</w:t>
      </w:r>
      <w:r>
        <w:rPr>
          <w:bCs w:val="0"/>
          <w:sz w:val="22"/>
          <w:szCs w:val="22"/>
          <w:lang w:val="en-US"/>
        </w:rPr>
        <w:tab/>
        <w:t>:</w:t>
      </w:r>
      <w:r>
        <w:rPr>
          <w:b w:val="0"/>
          <w:bCs w:val="0"/>
          <w:lang w:val="en-US"/>
        </w:rPr>
        <w:t xml:space="preserve"> </w:t>
      </w:r>
      <w:r>
        <w:rPr>
          <w:lang w:val="en-US"/>
        </w:rPr>
        <w:t xml:space="preserve"> </w:t>
      </w:r>
      <w:r>
        <w:rPr>
          <w:b w:val="0"/>
          <w:bCs w:val="0"/>
          <w:lang w:val="en-US"/>
        </w:rPr>
        <w:t xml:space="preserve">Our bank </w:t>
      </w:r>
      <w:r>
        <w:rPr>
          <w:b w:val="0"/>
          <w:sz w:val="22"/>
          <w:szCs w:val="22"/>
          <w:lang w:val="en-US"/>
        </w:rPr>
        <w:t xml:space="preserve">retains its status as one of the highest rated in its respective category as judged by the institutions rating the banks in our country. As of February 2006, our bank was rated </w:t>
      </w:r>
      <w:r>
        <w:rPr>
          <w:b w:val="0"/>
          <w:i/>
          <w:iCs/>
          <w:sz w:val="22"/>
          <w:szCs w:val="22"/>
          <w:lang w:val="en-US"/>
        </w:rPr>
        <w:t>“D+”</w:t>
      </w:r>
      <w:r>
        <w:rPr>
          <w:b w:val="0"/>
          <w:sz w:val="22"/>
          <w:szCs w:val="22"/>
          <w:lang w:val="en-US"/>
        </w:rPr>
        <w:t xml:space="preserve"> and </w:t>
      </w:r>
      <w:r>
        <w:rPr>
          <w:b w:val="0"/>
          <w:i/>
          <w:iCs/>
          <w:sz w:val="22"/>
          <w:szCs w:val="22"/>
          <w:lang w:val="en-US"/>
        </w:rPr>
        <w:t>“B1”</w:t>
      </w:r>
      <w:r>
        <w:rPr>
          <w:b w:val="0"/>
          <w:sz w:val="22"/>
          <w:szCs w:val="22"/>
          <w:lang w:val="en-US"/>
        </w:rPr>
        <w:t xml:space="preserve"> by Moody’s; an</w:t>
      </w:r>
      <w:r>
        <w:rPr>
          <w:b w:val="0"/>
          <w:sz w:val="22"/>
          <w:szCs w:val="22"/>
          <w:lang w:val="en-US"/>
        </w:rPr>
        <w:t xml:space="preserve">d </w:t>
      </w:r>
      <w:r>
        <w:rPr>
          <w:b w:val="0"/>
          <w:i/>
          <w:iCs/>
          <w:sz w:val="22"/>
          <w:szCs w:val="22"/>
          <w:lang w:val="en-US"/>
        </w:rPr>
        <w:t>“AA(tur) National”, “C/D Individual”, “BB+ Long Term TL”</w:t>
      </w:r>
      <w:r>
        <w:rPr>
          <w:b w:val="0"/>
          <w:sz w:val="22"/>
          <w:szCs w:val="22"/>
          <w:lang w:val="en-US"/>
        </w:rPr>
        <w:t xml:space="preserve"> (two steps higher than Turkey’s Long Term TL rating of BB-), “</w:t>
      </w:r>
      <w:r>
        <w:rPr>
          <w:b w:val="0"/>
          <w:i/>
          <w:iCs/>
          <w:sz w:val="22"/>
          <w:szCs w:val="22"/>
          <w:lang w:val="en-US"/>
        </w:rPr>
        <w:t>BB- Long Term YP</w:t>
      </w:r>
      <w:r>
        <w:rPr>
          <w:b w:val="0"/>
          <w:sz w:val="22"/>
          <w:szCs w:val="22"/>
          <w:lang w:val="en-US"/>
        </w:rPr>
        <w:t>”  with an Endorsement Rating of 3 by Fitch.</w:t>
      </w:r>
    </w:p>
    <w:p w:rsidR="005C2E2B" w:rsidRDefault="005C2E2B">
      <w:pPr>
        <w:pStyle w:val="BodyText2"/>
        <w:rPr>
          <w:b w:val="0"/>
          <w:i/>
          <w:iCs/>
          <w:sz w:val="22"/>
          <w:szCs w:val="22"/>
          <w:lang w:val="en-US"/>
        </w:rPr>
      </w:pPr>
    </w:p>
    <w:p w:rsidR="005C2E2B" w:rsidRDefault="005C2E2B">
      <w:pPr>
        <w:pStyle w:val="BodyText2"/>
        <w:rPr>
          <w:b w:val="0"/>
          <w:i/>
          <w:iCs/>
          <w:sz w:val="22"/>
          <w:szCs w:val="22"/>
          <w:lang w:val="en-US"/>
        </w:rPr>
      </w:pPr>
    </w:p>
    <w:p w:rsidR="005C2E2B" w:rsidRDefault="00B01030">
      <w:pPr>
        <w:pStyle w:val="BodyText2"/>
        <w:rPr>
          <w:bCs w:val="0"/>
          <w:sz w:val="22"/>
          <w:szCs w:val="22"/>
          <w:lang w:val="en-US"/>
        </w:rPr>
      </w:pPr>
      <w:r>
        <w:rPr>
          <w:bCs w:val="0"/>
          <w:sz w:val="22"/>
          <w:szCs w:val="22"/>
          <w:lang w:val="en-US"/>
        </w:rPr>
        <w:t>THE TEB FAMILY OF ORGANIZATIONS</w:t>
      </w:r>
    </w:p>
    <w:p w:rsidR="005C2E2B" w:rsidRDefault="005C2E2B">
      <w:pPr>
        <w:pStyle w:val="BodyText2"/>
        <w:rPr>
          <w:b w:val="0"/>
          <w:i/>
          <w:iCs/>
          <w:sz w:val="22"/>
          <w:szCs w:val="22"/>
          <w:lang w:val="en-US"/>
        </w:rPr>
      </w:pPr>
    </w:p>
    <w:p w:rsidR="005C2E2B" w:rsidRDefault="00B01030">
      <w:pPr>
        <w:tabs>
          <w:tab w:val="left" w:pos="2880"/>
        </w:tabs>
        <w:jc w:val="both"/>
        <w:rPr>
          <w:b/>
          <w:color w:val="0000FF"/>
          <w:sz w:val="22"/>
          <w:szCs w:val="22"/>
        </w:rPr>
      </w:pPr>
      <w:r>
        <w:rPr>
          <w:b/>
          <w:sz w:val="22"/>
          <w:szCs w:val="22"/>
        </w:rPr>
        <w:t>TEB Portfolio Management</w:t>
      </w:r>
      <w:r>
        <w:rPr>
          <w:b/>
          <w:sz w:val="22"/>
          <w:szCs w:val="22"/>
        </w:rPr>
        <w:tab/>
        <w:t xml:space="preserve">:  </w:t>
      </w:r>
      <w:r>
        <w:rPr>
          <w:bCs/>
          <w:sz w:val="22"/>
          <w:szCs w:val="22"/>
        </w:rPr>
        <w:t>Maintaining</w:t>
      </w:r>
      <w:r>
        <w:rPr>
          <w:bCs/>
          <w:sz w:val="22"/>
          <w:szCs w:val="22"/>
        </w:rPr>
        <w:t xml:space="preserve"> our ambitious stance in portfolio management in 2005,</w:t>
      </w:r>
      <w:r>
        <w:rPr>
          <w:b/>
          <w:color w:val="0000FF"/>
          <w:sz w:val="22"/>
          <w:szCs w:val="22"/>
        </w:rPr>
        <w:t xml:space="preserve"> </w:t>
      </w:r>
    </w:p>
    <w:p w:rsidR="005C2E2B" w:rsidRDefault="00B01030">
      <w:pPr>
        <w:pStyle w:val="BodyText"/>
        <w:tabs>
          <w:tab w:val="left" w:pos="2880"/>
        </w:tabs>
        <w:rPr>
          <w:bCs/>
          <w:szCs w:val="22"/>
          <w:lang w:val="en-US"/>
        </w:rPr>
      </w:pPr>
      <w:r>
        <w:rPr>
          <w:bCs/>
          <w:szCs w:val="22"/>
          <w:lang w:val="en-US"/>
        </w:rPr>
        <w:t xml:space="preserve">we became the third bank in the sale of funds per branch and the second fastest growing bank in fund growth. Swept forward by its total funds in excess of </w:t>
      </w:r>
      <w:r>
        <w:rPr>
          <w:bCs/>
          <w:szCs w:val="22"/>
          <w:highlight w:val="yellow"/>
          <w:lang w:val="en-US"/>
        </w:rPr>
        <w:t>YTL 1,000</w:t>
      </w:r>
      <w:r>
        <w:rPr>
          <w:bCs/>
          <w:szCs w:val="22"/>
          <w:lang w:val="en-US"/>
        </w:rPr>
        <w:t xml:space="preserve"> and a market share reaching 3.5%, T</w:t>
      </w:r>
      <w:r>
        <w:rPr>
          <w:bCs/>
          <w:szCs w:val="22"/>
          <w:lang w:val="en-US"/>
        </w:rPr>
        <w:t>EB Portfolio Management will continue to grow by raising its market share with the addition of new products from the BNP Paribas partnership in 2006.</w:t>
      </w:r>
    </w:p>
    <w:p w:rsidR="005C2E2B" w:rsidRDefault="005C2E2B">
      <w:pPr>
        <w:tabs>
          <w:tab w:val="left" w:pos="3060"/>
        </w:tabs>
        <w:jc w:val="both"/>
        <w:rPr>
          <w:bCs/>
          <w:color w:val="0000FF"/>
          <w:sz w:val="22"/>
          <w:szCs w:val="22"/>
        </w:rPr>
      </w:pPr>
    </w:p>
    <w:p w:rsidR="005C2E2B" w:rsidRDefault="00B01030">
      <w:pPr>
        <w:tabs>
          <w:tab w:val="left" w:pos="2880"/>
        </w:tabs>
        <w:jc w:val="both"/>
        <w:rPr>
          <w:bCs/>
          <w:sz w:val="22"/>
          <w:szCs w:val="22"/>
        </w:rPr>
      </w:pPr>
      <w:r>
        <w:rPr>
          <w:b/>
          <w:sz w:val="22"/>
          <w:szCs w:val="22"/>
        </w:rPr>
        <w:t>TEB NV</w:t>
      </w:r>
      <w:r>
        <w:rPr>
          <w:bCs/>
          <w:sz w:val="22"/>
          <w:szCs w:val="22"/>
        </w:rPr>
        <w:tab/>
      </w:r>
      <w:r>
        <w:rPr>
          <w:b/>
          <w:sz w:val="22"/>
          <w:szCs w:val="22"/>
        </w:rPr>
        <w:t>:</w:t>
      </w:r>
      <w:r>
        <w:rPr>
          <w:bCs/>
          <w:sz w:val="22"/>
          <w:szCs w:val="22"/>
        </w:rPr>
        <w:t xml:space="preserve">  Representing our bank in the European Union with operations primarily in foreign trade financin</w:t>
      </w:r>
      <w:r>
        <w:rPr>
          <w:bCs/>
          <w:sz w:val="22"/>
          <w:szCs w:val="22"/>
        </w:rPr>
        <w:t>g and private banking, TEB NV now boasts assets reaching 750 million euros in magnitude.</w:t>
      </w:r>
    </w:p>
    <w:p w:rsidR="005C2E2B" w:rsidRDefault="005C2E2B">
      <w:pPr>
        <w:tabs>
          <w:tab w:val="left" w:pos="3060"/>
        </w:tabs>
        <w:jc w:val="both"/>
        <w:rPr>
          <w:b/>
          <w:color w:val="0000FF"/>
          <w:sz w:val="22"/>
          <w:szCs w:val="22"/>
        </w:rPr>
      </w:pPr>
    </w:p>
    <w:p w:rsidR="005C2E2B" w:rsidRDefault="00B01030">
      <w:pPr>
        <w:tabs>
          <w:tab w:val="left" w:pos="2880"/>
        </w:tabs>
        <w:jc w:val="both"/>
        <w:rPr>
          <w:bCs/>
          <w:sz w:val="22"/>
          <w:szCs w:val="22"/>
        </w:rPr>
      </w:pPr>
      <w:r>
        <w:rPr>
          <w:b/>
          <w:sz w:val="22"/>
          <w:szCs w:val="22"/>
        </w:rPr>
        <w:t>TEB Leasing</w:t>
      </w:r>
      <w:r>
        <w:rPr>
          <w:bCs/>
          <w:sz w:val="22"/>
          <w:szCs w:val="22"/>
        </w:rPr>
        <w:tab/>
      </w:r>
      <w:r>
        <w:rPr>
          <w:b/>
          <w:sz w:val="22"/>
          <w:szCs w:val="22"/>
        </w:rPr>
        <w:t xml:space="preserve">: </w:t>
      </w:r>
      <w:r>
        <w:rPr>
          <w:bCs/>
          <w:sz w:val="22"/>
          <w:szCs w:val="22"/>
        </w:rPr>
        <w:t>TEB Leasing remained one of the key players in the sector in 2005 with the synergy of BNP Paribas, maintaining its profitability and growth of assets. T</w:t>
      </w:r>
      <w:r>
        <w:rPr>
          <w:bCs/>
          <w:sz w:val="22"/>
          <w:szCs w:val="22"/>
        </w:rPr>
        <w:t>he partnership will get more effective in the market with new products in 2006.</w:t>
      </w:r>
    </w:p>
    <w:p w:rsidR="005C2E2B" w:rsidRDefault="005C2E2B">
      <w:pPr>
        <w:tabs>
          <w:tab w:val="left" w:pos="3060"/>
        </w:tabs>
        <w:jc w:val="both"/>
        <w:rPr>
          <w:bCs/>
          <w:color w:val="0000FF"/>
          <w:sz w:val="22"/>
          <w:szCs w:val="22"/>
        </w:rPr>
      </w:pPr>
    </w:p>
    <w:p w:rsidR="005C2E2B" w:rsidRDefault="00B01030">
      <w:pPr>
        <w:tabs>
          <w:tab w:val="left" w:pos="2880"/>
        </w:tabs>
        <w:jc w:val="both"/>
        <w:rPr>
          <w:bCs/>
          <w:sz w:val="22"/>
          <w:szCs w:val="22"/>
        </w:rPr>
      </w:pPr>
      <w:r>
        <w:rPr>
          <w:b/>
          <w:sz w:val="22"/>
          <w:szCs w:val="22"/>
        </w:rPr>
        <w:t>TEB Factoring</w:t>
      </w:r>
      <w:r>
        <w:rPr>
          <w:bCs/>
          <w:sz w:val="22"/>
          <w:szCs w:val="22"/>
        </w:rPr>
        <w:tab/>
      </w:r>
      <w:r>
        <w:rPr>
          <w:b/>
          <w:sz w:val="22"/>
          <w:szCs w:val="22"/>
        </w:rPr>
        <w:t xml:space="preserve">: </w:t>
      </w:r>
      <w:r>
        <w:rPr>
          <w:bCs/>
          <w:sz w:val="22"/>
          <w:szCs w:val="22"/>
        </w:rPr>
        <w:t xml:space="preserve">The country’s third largest organization in terms of the volume of transactions in both domestic and export factoring, TEB Factoring proved the quality of its </w:t>
      </w:r>
      <w:r>
        <w:rPr>
          <w:bCs/>
          <w:sz w:val="22"/>
          <w:szCs w:val="22"/>
        </w:rPr>
        <w:t xml:space="preserve">services by getting selected the ninth best-serving company in the world by Factors Chain International in 2004. </w:t>
      </w:r>
    </w:p>
    <w:p w:rsidR="005C2E2B" w:rsidRDefault="005C2E2B">
      <w:pPr>
        <w:tabs>
          <w:tab w:val="left" w:pos="3060"/>
        </w:tabs>
        <w:jc w:val="both"/>
        <w:rPr>
          <w:bCs/>
          <w:color w:val="0000FF"/>
          <w:sz w:val="22"/>
          <w:szCs w:val="22"/>
        </w:rPr>
      </w:pPr>
    </w:p>
    <w:p w:rsidR="005C2E2B" w:rsidRDefault="00B01030">
      <w:pPr>
        <w:tabs>
          <w:tab w:val="left" w:pos="2880"/>
        </w:tabs>
        <w:jc w:val="both"/>
        <w:rPr>
          <w:bCs/>
          <w:sz w:val="22"/>
          <w:szCs w:val="22"/>
        </w:rPr>
      </w:pPr>
      <w:r>
        <w:rPr>
          <w:b/>
          <w:sz w:val="22"/>
          <w:szCs w:val="22"/>
        </w:rPr>
        <w:t>TEB Investment</w:t>
      </w:r>
      <w:r>
        <w:rPr>
          <w:bCs/>
          <w:sz w:val="22"/>
          <w:szCs w:val="22"/>
        </w:rPr>
        <w:tab/>
      </w:r>
      <w:r>
        <w:rPr>
          <w:b/>
          <w:sz w:val="22"/>
          <w:szCs w:val="22"/>
        </w:rPr>
        <w:t xml:space="preserve">: </w:t>
      </w:r>
      <w:r>
        <w:rPr>
          <w:bCs/>
          <w:sz w:val="22"/>
          <w:szCs w:val="22"/>
        </w:rPr>
        <w:t>With a 2% share in the market, TEB Investment greeted the year 2006 with a managerial renovation. We aim to see TEB Investme</w:t>
      </w:r>
      <w:r>
        <w:rPr>
          <w:bCs/>
          <w:sz w:val="22"/>
          <w:szCs w:val="22"/>
        </w:rPr>
        <w:t>nt both as a company with greater effectiveness in corporate finance and as one that increases its market share rapidly with its new management in 2006.</w:t>
      </w:r>
    </w:p>
    <w:p w:rsidR="005C2E2B" w:rsidRDefault="005C2E2B">
      <w:pPr>
        <w:tabs>
          <w:tab w:val="left" w:pos="3060"/>
        </w:tabs>
        <w:jc w:val="both"/>
        <w:rPr>
          <w:bCs/>
          <w:color w:val="0000FF"/>
          <w:sz w:val="22"/>
          <w:szCs w:val="22"/>
        </w:rPr>
      </w:pPr>
    </w:p>
    <w:p w:rsidR="005C2E2B" w:rsidRDefault="00B01030">
      <w:pPr>
        <w:tabs>
          <w:tab w:val="left" w:pos="2880"/>
        </w:tabs>
        <w:jc w:val="both"/>
        <w:rPr>
          <w:bCs/>
          <w:color w:val="0000FF"/>
          <w:sz w:val="22"/>
          <w:szCs w:val="22"/>
        </w:rPr>
      </w:pPr>
      <w:r>
        <w:rPr>
          <w:b/>
          <w:sz w:val="22"/>
          <w:szCs w:val="22"/>
        </w:rPr>
        <w:t>TEB Insurance</w:t>
      </w:r>
      <w:r>
        <w:rPr>
          <w:bCs/>
          <w:sz w:val="22"/>
          <w:szCs w:val="22"/>
        </w:rPr>
        <w:tab/>
      </w:r>
      <w:r>
        <w:rPr>
          <w:b/>
          <w:sz w:val="22"/>
          <w:szCs w:val="22"/>
        </w:rPr>
        <w:t xml:space="preserve">: </w:t>
      </w:r>
      <w:r>
        <w:rPr>
          <w:bCs/>
          <w:sz w:val="22"/>
          <w:szCs w:val="22"/>
        </w:rPr>
        <w:t>TEB Insurance which is not included in our consolidation but is an important company o</w:t>
      </w:r>
      <w:r>
        <w:rPr>
          <w:bCs/>
          <w:sz w:val="22"/>
          <w:szCs w:val="22"/>
        </w:rPr>
        <w:t xml:space="preserve">f the TEB Financial Group made a powerful bid in 2005 resulting in a 70% increase in premiums, another A- rating from Fitch Ratings, and renewed confidence. Starting 2006 with a new product, “Loan Insurance,” TEB Insurance plans to operate in new segments </w:t>
      </w:r>
      <w:r>
        <w:rPr>
          <w:bCs/>
          <w:sz w:val="22"/>
          <w:szCs w:val="22"/>
        </w:rPr>
        <w:t>with the BNP Paribas partnership.</w:t>
      </w:r>
    </w:p>
    <w:p w:rsidR="005C2E2B" w:rsidRDefault="005C2E2B">
      <w:pPr>
        <w:tabs>
          <w:tab w:val="left" w:pos="3060"/>
        </w:tabs>
        <w:jc w:val="both"/>
        <w:rPr>
          <w:bCs/>
          <w:color w:val="0000FF"/>
          <w:sz w:val="22"/>
          <w:szCs w:val="22"/>
        </w:rPr>
      </w:pPr>
    </w:p>
    <w:p w:rsidR="005C2E2B" w:rsidRDefault="005C2E2B">
      <w:pPr>
        <w:rPr>
          <w:b/>
          <w:bCs/>
          <w:color w:val="0000FF"/>
          <w:sz w:val="20"/>
          <w:szCs w:val="20"/>
        </w:rPr>
      </w:pPr>
    </w:p>
    <w:p w:rsidR="005C2E2B" w:rsidRDefault="00B01030">
      <w:pPr>
        <w:pStyle w:val="Heading7"/>
        <w:rPr>
          <w:lang w:val="en-US"/>
        </w:rPr>
      </w:pPr>
      <w:r>
        <w:rPr>
          <w:lang w:val="en-US"/>
        </w:rPr>
        <w:t>CORPORATE GOVERNANCE PRINCIPLES AND PROFIT DISTRIBUTION POLICY</w:t>
      </w:r>
    </w:p>
    <w:p w:rsidR="005C2E2B" w:rsidRDefault="005C2E2B">
      <w:pPr>
        <w:rPr>
          <w:rFonts w:ascii="Arial" w:hAnsi="Arial" w:cs="Arial"/>
          <w:b/>
          <w:bCs/>
          <w:i/>
          <w:iCs/>
          <w:color w:val="0000FF"/>
          <w:sz w:val="20"/>
          <w:szCs w:val="20"/>
        </w:rPr>
      </w:pPr>
    </w:p>
    <w:p w:rsidR="005C2E2B" w:rsidRDefault="00B01030">
      <w:pPr>
        <w:pStyle w:val="BodyText"/>
        <w:rPr>
          <w:lang w:val="en-US"/>
        </w:rPr>
      </w:pPr>
      <w:r>
        <w:rPr>
          <w:lang w:val="en-US"/>
        </w:rPr>
        <w:t>Last but not least, our bank that gives strict precedence to professional management, transparency, and ethical values in its operations is in full complian</w:t>
      </w:r>
      <w:r>
        <w:rPr>
          <w:lang w:val="en-US"/>
        </w:rPr>
        <w:t xml:space="preserve">ce with the “Corporate Governance Principles” that the Capital Markets Board has published as non-obligatory guidelines, leaving compliance up to the discretion of each organization. </w:t>
      </w:r>
    </w:p>
    <w:p w:rsidR="005C2E2B" w:rsidRDefault="005C2E2B">
      <w:pPr>
        <w:jc w:val="both"/>
        <w:rPr>
          <w:color w:val="0000FF"/>
          <w:sz w:val="22"/>
        </w:rPr>
      </w:pPr>
    </w:p>
    <w:p w:rsidR="005C2E2B" w:rsidRDefault="00B01030">
      <w:pPr>
        <w:pStyle w:val="BodyText"/>
        <w:rPr>
          <w:bCs/>
          <w:lang w:val="en-US"/>
        </w:rPr>
      </w:pPr>
      <w:r>
        <w:rPr>
          <w:lang w:val="en-US"/>
        </w:rPr>
        <w:t>Our “Profit Distribution Policy” that is of immediate interest to our i</w:t>
      </w:r>
      <w:r>
        <w:rPr>
          <w:lang w:val="en-US"/>
        </w:rPr>
        <w:t>nvestors and is one of the most important among the said principles which we believe will gain as great an importance as ratings in the near future was disclosed to the public in 2003. We would like to point out in particular that TEB was one of the two Tu</w:t>
      </w:r>
      <w:r>
        <w:rPr>
          <w:lang w:val="en-US"/>
        </w:rPr>
        <w:t>rkish banks that made such a disclosure.</w:t>
      </w:r>
    </w:p>
    <w:p w:rsidR="005C2E2B" w:rsidRDefault="005C2E2B">
      <w:pPr>
        <w:jc w:val="both"/>
        <w:rPr>
          <w:color w:val="0000FF"/>
          <w:sz w:val="22"/>
        </w:rPr>
      </w:pPr>
    </w:p>
    <w:p w:rsidR="005C2E2B" w:rsidRDefault="00B01030">
      <w:pPr>
        <w:pStyle w:val="BodyText"/>
        <w:rPr>
          <w:lang w:val="en-US"/>
        </w:rPr>
      </w:pPr>
      <w:r>
        <w:rPr>
          <w:lang w:val="en-US"/>
        </w:rPr>
        <w:t>We thank all of you for your attendance and hope to see you again in our next conference.</w:t>
      </w:r>
    </w:p>
    <w:p w:rsidR="005C2E2B" w:rsidRDefault="005C2E2B">
      <w:pPr>
        <w:jc w:val="both"/>
        <w:rPr>
          <w:sz w:val="22"/>
        </w:rPr>
      </w:pPr>
    </w:p>
    <w:p w:rsidR="005C2E2B" w:rsidRDefault="005C2E2B">
      <w:pPr>
        <w:jc w:val="both"/>
        <w:rPr>
          <w:b/>
          <w:bCs/>
          <w:i/>
          <w:iCs/>
          <w:sz w:val="20"/>
        </w:rPr>
      </w:pPr>
    </w:p>
    <w:p w:rsidR="005C2E2B" w:rsidRDefault="00B01030">
      <w:pPr>
        <w:jc w:val="both"/>
        <w:rPr>
          <w:b/>
          <w:bCs/>
          <w:i/>
          <w:iCs/>
          <w:sz w:val="20"/>
        </w:rPr>
      </w:pPr>
      <w:r>
        <w:rPr>
          <w:b/>
          <w:bCs/>
          <w:i/>
          <w:iCs/>
          <w:sz w:val="20"/>
        </w:rPr>
        <w:t>Istanbul, 10 February 2006</w:t>
      </w:r>
    </w:p>
    <w:p w:rsidR="005C2E2B" w:rsidRDefault="005C2E2B">
      <w:pPr>
        <w:rPr>
          <w:rFonts w:ascii="Arial" w:hAnsi="Arial" w:cs="Arial"/>
          <w:i/>
          <w:iCs/>
          <w:color w:val="0000FF"/>
          <w:sz w:val="20"/>
          <w:szCs w:val="20"/>
        </w:rPr>
      </w:pPr>
    </w:p>
    <w:p w:rsidR="005C2E2B" w:rsidRDefault="005C2E2B">
      <w:pPr>
        <w:rPr>
          <w:rFonts w:ascii="Arial" w:hAnsi="Arial" w:cs="Arial"/>
          <w:b/>
          <w:bCs/>
          <w:i/>
          <w:iCs/>
          <w:color w:val="0000FF"/>
          <w:sz w:val="20"/>
          <w:szCs w:val="20"/>
        </w:rPr>
      </w:pPr>
    </w:p>
    <w:sectPr w:rsidR="005C2E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TUR">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578"/>
    <w:multiLevelType w:val="hybridMultilevel"/>
    <w:tmpl w:val="13EE0214"/>
    <w:lvl w:ilvl="0" w:tplc="04090003">
      <w:start w:val="1"/>
      <w:numFmt w:val="bullet"/>
      <w:lvlText w:val="o"/>
      <w:lvlJc w:val="left"/>
      <w:pPr>
        <w:tabs>
          <w:tab w:val="num" w:pos="720"/>
        </w:tabs>
        <w:ind w:left="720" w:hanging="360"/>
      </w:pPr>
      <w:rPr>
        <w:rFonts w:ascii="Courier New" w:hAnsi="Courier New" w:hint="default"/>
      </w:rPr>
    </w:lvl>
    <w:lvl w:ilvl="1" w:tplc="37843EDA">
      <w:numFmt w:val="bullet"/>
      <w:lvlText w:val=""/>
      <w:lvlJc w:val="left"/>
      <w:pPr>
        <w:tabs>
          <w:tab w:val="num" w:pos="1440"/>
        </w:tabs>
        <w:ind w:left="1440" w:hanging="360"/>
      </w:pPr>
      <w:rPr>
        <w:rFonts w:ascii="Symbol" w:eastAsia="Times New Roman" w:hAnsi="Symbol" w:cs="Times New Roman"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20752"/>
    <w:multiLevelType w:val="hybridMultilevel"/>
    <w:tmpl w:val="17B24E84"/>
    <w:lvl w:ilvl="0" w:tplc="37843EDA">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A94AFF"/>
    <w:multiLevelType w:val="hybridMultilevel"/>
    <w:tmpl w:val="0780193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
    <w:nsid w:val="12172611"/>
    <w:multiLevelType w:val="hybridMultilevel"/>
    <w:tmpl w:val="4844A90A"/>
    <w:lvl w:ilvl="0" w:tplc="37843EDA">
      <w:numFmt w:val="bullet"/>
      <w:lvlText w:val=""/>
      <w:lvlJc w:val="left"/>
      <w:pPr>
        <w:tabs>
          <w:tab w:val="num" w:pos="1504"/>
        </w:tabs>
        <w:ind w:left="1504" w:hanging="360"/>
      </w:pPr>
      <w:rPr>
        <w:rFonts w:ascii="Symbol" w:eastAsia="Times New Roman" w:hAnsi="Symbol" w:cs="Times New Roman" w:hint="default"/>
      </w:rPr>
    </w:lvl>
    <w:lvl w:ilvl="1" w:tplc="04090003" w:tentative="1">
      <w:start w:val="1"/>
      <w:numFmt w:val="bullet"/>
      <w:lvlText w:val="o"/>
      <w:lvlJc w:val="left"/>
      <w:pPr>
        <w:tabs>
          <w:tab w:val="num" w:pos="1504"/>
        </w:tabs>
        <w:ind w:left="1504" w:hanging="360"/>
      </w:pPr>
      <w:rPr>
        <w:rFonts w:ascii="Courier New" w:hAnsi="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start w:val="1"/>
      <w:numFmt w:val="bullet"/>
      <w:lvlText w:val="o"/>
      <w:lvlJc w:val="left"/>
      <w:pPr>
        <w:tabs>
          <w:tab w:val="num" w:pos="3664"/>
        </w:tabs>
        <w:ind w:left="3664" w:hanging="360"/>
      </w:pPr>
      <w:rPr>
        <w:rFonts w:ascii="Courier New" w:hAnsi="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4">
    <w:nsid w:val="187460F6"/>
    <w:multiLevelType w:val="hybridMultilevel"/>
    <w:tmpl w:val="1BCA750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C41C6F"/>
    <w:multiLevelType w:val="hybridMultilevel"/>
    <w:tmpl w:val="07AEF410"/>
    <w:lvl w:ilvl="0" w:tplc="37843EDA">
      <w:numFmt w:val="bullet"/>
      <w:lvlText w:val=""/>
      <w:lvlJc w:val="left"/>
      <w:pPr>
        <w:tabs>
          <w:tab w:val="num" w:pos="1504"/>
        </w:tabs>
        <w:ind w:left="1504" w:hanging="360"/>
      </w:pPr>
      <w:rPr>
        <w:rFonts w:ascii="Symbol" w:eastAsia="Times New Roman" w:hAnsi="Symbol" w:cs="Times New Roman" w:hint="default"/>
      </w:rPr>
    </w:lvl>
    <w:lvl w:ilvl="1" w:tplc="04090003" w:tentative="1">
      <w:start w:val="1"/>
      <w:numFmt w:val="bullet"/>
      <w:lvlText w:val="o"/>
      <w:lvlJc w:val="left"/>
      <w:pPr>
        <w:tabs>
          <w:tab w:val="num" w:pos="1504"/>
        </w:tabs>
        <w:ind w:left="1504" w:hanging="360"/>
      </w:pPr>
      <w:rPr>
        <w:rFonts w:ascii="Courier New" w:hAnsi="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6">
    <w:nsid w:val="1ACB1ED5"/>
    <w:multiLevelType w:val="hybridMultilevel"/>
    <w:tmpl w:val="0B2A873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3A82610"/>
    <w:multiLevelType w:val="hybridMultilevel"/>
    <w:tmpl w:val="6B562FBC"/>
    <w:lvl w:ilvl="0" w:tplc="74763E1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6F4D3B"/>
    <w:multiLevelType w:val="hybridMultilevel"/>
    <w:tmpl w:val="1BCA750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C0436F1"/>
    <w:multiLevelType w:val="hybridMultilevel"/>
    <w:tmpl w:val="FBA458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2E9153D"/>
    <w:multiLevelType w:val="hybridMultilevel"/>
    <w:tmpl w:val="D77E9134"/>
    <w:lvl w:ilvl="0" w:tplc="37843EDA">
      <w:numFmt w:val="bullet"/>
      <w:lvlText w:val=""/>
      <w:lvlJc w:val="left"/>
      <w:pPr>
        <w:tabs>
          <w:tab w:val="num" w:pos="3664"/>
        </w:tabs>
        <w:ind w:left="3664" w:hanging="360"/>
      </w:pPr>
      <w:rPr>
        <w:rFonts w:ascii="Symbol" w:eastAsia="Times New Roman" w:hAnsi="Symbol" w:cs="Times New Roman" w:hint="default"/>
      </w:rPr>
    </w:lvl>
    <w:lvl w:ilvl="1" w:tplc="04090003" w:tentative="1">
      <w:start w:val="1"/>
      <w:numFmt w:val="bullet"/>
      <w:lvlText w:val="o"/>
      <w:lvlJc w:val="left"/>
      <w:pPr>
        <w:tabs>
          <w:tab w:val="num" w:pos="3664"/>
        </w:tabs>
        <w:ind w:left="3664" w:hanging="360"/>
      </w:pPr>
      <w:rPr>
        <w:rFonts w:ascii="Courier New" w:hAnsi="Courier New" w:hint="default"/>
      </w:rPr>
    </w:lvl>
    <w:lvl w:ilvl="2" w:tplc="04090005" w:tentative="1">
      <w:start w:val="1"/>
      <w:numFmt w:val="bullet"/>
      <w:lvlText w:val=""/>
      <w:lvlJc w:val="left"/>
      <w:pPr>
        <w:tabs>
          <w:tab w:val="num" w:pos="4384"/>
        </w:tabs>
        <w:ind w:left="4384" w:hanging="360"/>
      </w:pPr>
      <w:rPr>
        <w:rFonts w:ascii="Wingdings" w:hAnsi="Wingdings" w:hint="default"/>
      </w:rPr>
    </w:lvl>
    <w:lvl w:ilvl="3" w:tplc="04090001" w:tentative="1">
      <w:start w:val="1"/>
      <w:numFmt w:val="bullet"/>
      <w:lvlText w:val=""/>
      <w:lvlJc w:val="left"/>
      <w:pPr>
        <w:tabs>
          <w:tab w:val="num" w:pos="5104"/>
        </w:tabs>
        <w:ind w:left="5104" w:hanging="360"/>
      </w:pPr>
      <w:rPr>
        <w:rFonts w:ascii="Symbol" w:hAnsi="Symbol" w:hint="default"/>
      </w:rPr>
    </w:lvl>
    <w:lvl w:ilvl="4" w:tplc="04090003">
      <w:start w:val="1"/>
      <w:numFmt w:val="bullet"/>
      <w:lvlText w:val="o"/>
      <w:lvlJc w:val="left"/>
      <w:pPr>
        <w:tabs>
          <w:tab w:val="num" w:pos="5824"/>
        </w:tabs>
        <w:ind w:left="5824" w:hanging="360"/>
      </w:pPr>
      <w:rPr>
        <w:rFonts w:ascii="Courier New" w:hAnsi="Courier New" w:hint="default"/>
      </w:rPr>
    </w:lvl>
    <w:lvl w:ilvl="5" w:tplc="04090005" w:tentative="1">
      <w:start w:val="1"/>
      <w:numFmt w:val="bullet"/>
      <w:lvlText w:val=""/>
      <w:lvlJc w:val="left"/>
      <w:pPr>
        <w:tabs>
          <w:tab w:val="num" w:pos="6544"/>
        </w:tabs>
        <w:ind w:left="6544" w:hanging="360"/>
      </w:pPr>
      <w:rPr>
        <w:rFonts w:ascii="Wingdings" w:hAnsi="Wingdings" w:hint="default"/>
      </w:rPr>
    </w:lvl>
    <w:lvl w:ilvl="6" w:tplc="04090001" w:tentative="1">
      <w:start w:val="1"/>
      <w:numFmt w:val="bullet"/>
      <w:lvlText w:val=""/>
      <w:lvlJc w:val="left"/>
      <w:pPr>
        <w:tabs>
          <w:tab w:val="num" w:pos="7264"/>
        </w:tabs>
        <w:ind w:left="7264" w:hanging="360"/>
      </w:pPr>
      <w:rPr>
        <w:rFonts w:ascii="Symbol" w:hAnsi="Symbol" w:hint="default"/>
      </w:rPr>
    </w:lvl>
    <w:lvl w:ilvl="7" w:tplc="04090003" w:tentative="1">
      <w:start w:val="1"/>
      <w:numFmt w:val="bullet"/>
      <w:lvlText w:val="o"/>
      <w:lvlJc w:val="left"/>
      <w:pPr>
        <w:tabs>
          <w:tab w:val="num" w:pos="7984"/>
        </w:tabs>
        <w:ind w:left="7984" w:hanging="360"/>
      </w:pPr>
      <w:rPr>
        <w:rFonts w:ascii="Courier New" w:hAnsi="Courier New" w:hint="default"/>
      </w:rPr>
    </w:lvl>
    <w:lvl w:ilvl="8" w:tplc="04090005" w:tentative="1">
      <w:start w:val="1"/>
      <w:numFmt w:val="bullet"/>
      <w:lvlText w:val=""/>
      <w:lvlJc w:val="left"/>
      <w:pPr>
        <w:tabs>
          <w:tab w:val="num" w:pos="8704"/>
        </w:tabs>
        <w:ind w:left="8704" w:hanging="360"/>
      </w:pPr>
      <w:rPr>
        <w:rFonts w:ascii="Wingdings" w:hAnsi="Wingdings" w:hint="default"/>
      </w:rPr>
    </w:lvl>
  </w:abstractNum>
  <w:abstractNum w:abstractNumId="11">
    <w:nsid w:val="4A9D3390"/>
    <w:multiLevelType w:val="hybridMultilevel"/>
    <w:tmpl w:val="B76EA4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8E4481"/>
    <w:multiLevelType w:val="hybridMultilevel"/>
    <w:tmpl w:val="13EE0214"/>
    <w:lvl w:ilvl="0" w:tplc="04090003">
      <w:start w:val="1"/>
      <w:numFmt w:val="bullet"/>
      <w:lvlText w:val="o"/>
      <w:lvlJc w:val="left"/>
      <w:pPr>
        <w:tabs>
          <w:tab w:val="num" w:pos="720"/>
        </w:tabs>
        <w:ind w:left="720" w:hanging="360"/>
      </w:pPr>
      <w:rPr>
        <w:rFonts w:ascii="Courier New" w:hAnsi="Courier New" w:hint="default"/>
      </w:rPr>
    </w:lvl>
    <w:lvl w:ilvl="1" w:tplc="37843EDA">
      <w:numFmt w:val="bullet"/>
      <w:lvlText w:val=""/>
      <w:lvlJc w:val="left"/>
      <w:pPr>
        <w:tabs>
          <w:tab w:val="num" w:pos="1440"/>
        </w:tabs>
        <w:ind w:left="1440" w:hanging="360"/>
      </w:pPr>
      <w:rPr>
        <w:rFonts w:ascii="Symbol" w:eastAsia="Times New Roman" w:hAnsi="Symbol" w:cs="Times New Roman"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C300C2C"/>
    <w:multiLevelType w:val="hybridMultilevel"/>
    <w:tmpl w:val="13EE0214"/>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1A269EA"/>
    <w:multiLevelType w:val="hybridMultilevel"/>
    <w:tmpl w:val="13EE0214"/>
    <w:lvl w:ilvl="0" w:tplc="0409000B">
      <w:start w:val="1"/>
      <w:numFmt w:val="bullet"/>
      <w:lvlText w:val=""/>
      <w:lvlJc w:val="left"/>
      <w:pPr>
        <w:tabs>
          <w:tab w:val="num" w:pos="720"/>
        </w:tabs>
        <w:ind w:left="720" w:hanging="360"/>
      </w:pPr>
      <w:rPr>
        <w:rFonts w:ascii="Wingdings" w:hAnsi="Wingdings" w:hint="default"/>
      </w:rPr>
    </w:lvl>
    <w:lvl w:ilvl="1" w:tplc="37843EDA">
      <w:numFmt w:val="bullet"/>
      <w:lvlText w:val=""/>
      <w:lvlJc w:val="left"/>
      <w:pPr>
        <w:tabs>
          <w:tab w:val="num" w:pos="1440"/>
        </w:tabs>
        <w:ind w:left="1440" w:hanging="360"/>
      </w:pPr>
      <w:rPr>
        <w:rFonts w:ascii="Symbol" w:eastAsia="Times New Roman" w:hAnsi="Symbol" w:cs="Times New Roman"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5DC1A0D"/>
    <w:multiLevelType w:val="hybridMultilevel"/>
    <w:tmpl w:val="3A42424E"/>
    <w:lvl w:ilvl="0" w:tplc="37843EDA">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EA2FA0"/>
    <w:multiLevelType w:val="hybridMultilevel"/>
    <w:tmpl w:val="13EE021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D3A1172"/>
    <w:multiLevelType w:val="hybridMultilevel"/>
    <w:tmpl w:val="13EE0214"/>
    <w:lvl w:ilvl="0" w:tplc="0409000B">
      <w:start w:val="1"/>
      <w:numFmt w:val="bullet"/>
      <w:lvlText w:val=""/>
      <w:lvlJc w:val="left"/>
      <w:pPr>
        <w:tabs>
          <w:tab w:val="num" w:pos="360"/>
        </w:tabs>
        <w:ind w:left="360" w:hanging="360"/>
      </w:pPr>
      <w:rPr>
        <w:rFonts w:ascii="Wingdings" w:hAnsi="Wingdings" w:hint="default"/>
      </w:rPr>
    </w:lvl>
    <w:lvl w:ilvl="1" w:tplc="37843EDA">
      <w:numFmt w:val="bullet"/>
      <w:lvlText w:val=""/>
      <w:lvlJc w:val="left"/>
      <w:pPr>
        <w:tabs>
          <w:tab w:val="num" w:pos="1080"/>
        </w:tabs>
        <w:ind w:left="1080" w:hanging="360"/>
      </w:pPr>
      <w:rPr>
        <w:rFonts w:ascii="Symbol" w:eastAsia="Times New Roman" w:hAnsi="Symbol" w:cs="Times New Roman" w:hint="default"/>
      </w:rPr>
    </w:lvl>
    <w:lvl w:ilvl="2" w:tplc="0409000B">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1D9620F"/>
    <w:multiLevelType w:val="hybridMultilevel"/>
    <w:tmpl w:val="3754F7B2"/>
    <w:lvl w:ilvl="0" w:tplc="37843EDA">
      <w:numFmt w:val="bullet"/>
      <w:lvlText w:val=""/>
      <w:lvlJc w:val="left"/>
      <w:pPr>
        <w:tabs>
          <w:tab w:val="num" w:pos="1504"/>
        </w:tabs>
        <w:ind w:left="1504" w:hanging="360"/>
      </w:pPr>
      <w:rPr>
        <w:rFonts w:ascii="Symbol" w:eastAsia="Times New Roman" w:hAnsi="Symbol" w:cs="Times New Roman" w:hint="default"/>
      </w:rPr>
    </w:lvl>
    <w:lvl w:ilvl="1" w:tplc="04090003" w:tentative="1">
      <w:start w:val="1"/>
      <w:numFmt w:val="bullet"/>
      <w:lvlText w:val="o"/>
      <w:lvlJc w:val="left"/>
      <w:pPr>
        <w:tabs>
          <w:tab w:val="num" w:pos="1504"/>
        </w:tabs>
        <w:ind w:left="1504" w:hanging="360"/>
      </w:pPr>
      <w:rPr>
        <w:rFonts w:ascii="Courier New" w:hAnsi="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9">
    <w:nsid w:val="7C2D14DB"/>
    <w:multiLevelType w:val="hybridMultilevel"/>
    <w:tmpl w:val="13EE0214"/>
    <w:lvl w:ilvl="0" w:tplc="0409000B">
      <w:start w:val="1"/>
      <w:numFmt w:val="bullet"/>
      <w:lvlText w:val=""/>
      <w:lvlJc w:val="left"/>
      <w:pPr>
        <w:tabs>
          <w:tab w:val="num" w:pos="360"/>
        </w:tabs>
        <w:ind w:left="360" w:hanging="360"/>
      </w:pPr>
      <w:rPr>
        <w:rFonts w:ascii="Wingdings" w:hAnsi="Wingdings" w:hint="default"/>
      </w:rPr>
    </w:lvl>
    <w:lvl w:ilvl="1" w:tplc="37843EDA">
      <w:numFmt w:val="bullet"/>
      <w:lvlText w:val=""/>
      <w:lvlJc w:val="left"/>
      <w:pPr>
        <w:tabs>
          <w:tab w:val="num" w:pos="1080"/>
        </w:tabs>
        <w:ind w:left="1080" w:hanging="360"/>
      </w:pPr>
      <w:rPr>
        <w:rFonts w:ascii="Symbol" w:eastAsia="Times New Roman" w:hAnsi="Symbol" w:cs="Times New Roman" w:hint="default"/>
      </w:rPr>
    </w:lvl>
    <w:lvl w:ilvl="2" w:tplc="0409000B">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FA95D78"/>
    <w:multiLevelType w:val="hybridMultilevel"/>
    <w:tmpl w:val="0780193A"/>
    <w:lvl w:ilvl="0" w:tplc="37843EDA">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8"/>
  </w:num>
  <w:num w:numId="3">
    <w:abstractNumId w:val="5"/>
  </w:num>
  <w:num w:numId="4">
    <w:abstractNumId w:val="15"/>
  </w:num>
  <w:num w:numId="5">
    <w:abstractNumId w:val="3"/>
  </w:num>
  <w:num w:numId="6">
    <w:abstractNumId w:val="10"/>
  </w:num>
  <w:num w:numId="7">
    <w:abstractNumId w:val="1"/>
  </w:num>
  <w:num w:numId="8">
    <w:abstractNumId w:val="11"/>
  </w:num>
  <w:num w:numId="9">
    <w:abstractNumId w:val="20"/>
  </w:num>
  <w:num w:numId="10">
    <w:abstractNumId w:val="2"/>
  </w:num>
  <w:num w:numId="11">
    <w:abstractNumId w:val="16"/>
  </w:num>
  <w:num w:numId="12">
    <w:abstractNumId w:val="13"/>
  </w:num>
  <w:num w:numId="13">
    <w:abstractNumId w:val="6"/>
  </w:num>
  <w:num w:numId="14">
    <w:abstractNumId w:val="0"/>
  </w:num>
  <w:num w:numId="15">
    <w:abstractNumId w:val="17"/>
  </w:num>
  <w:num w:numId="16">
    <w:abstractNumId w:val="19"/>
  </w:num>
  <w:num w:numId="17">
    <w:abstractNumId w:val="12"/>
  </w:num>
  <w:num w:numId="18">
    <w:abstractNumId w:val="9"/>
  </w:num>
  <w:num w:numId="19">
    <w:abstractNumId w:val="4"/>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131"/>
    <w:rsid w:val="005C2E2B"/>
    <w:rsid w:val="00950131"/>
    <w:rsid w:val="00B010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lang w:val="tr-TR"/>
    </w:rPr>
  </w:style>
  <w:style w:type="paragraph" w:styleId="Heading2">
    <w:name w:val="heading 2"/>
    <w:basedOn w:val="Normal"/>
    <w:next w:val="Normal"/>
    <w:qFormat/>
    <w:pPr>
      <w:keepNext/>
      <w:jc w:val="center"/>
      <w:outlineLvl w:val="1"/>
    </w:pPr>
    <w:rPr>
      <w:b/>
      <w:bCs/>
      <w:sz w:val="22"/>
      <w:lang w:val="tr-TR"/>
    </w:rPr>
  </w:style>
  <w:style w:type="paragraph" w:styleId="Heading3">
    <w:name w:val="heading 3"/>
    <w:basedOn w:val="Normal"/>
    <w:next w:val="Normal"/>
    <w:qFormat/>
    <w:pPr>
      <w:keepNext/>
      <w:jc w:val="center"/>
      <w:outlineLvl w:val="2"/>
    </w:pPr>
    <w:rPr>
      <w:rFonts w:ascii="Arial" w:hAnsi="Arial" w:cs="Arial"/>
      <w:b/>
      <w:bCs/>
      <w:i/>
      <w:iCs/>
      <w:sz w:val="20"/>
      <w:szCs w:val="20"/>
    </w:rPr>
  </w:style>
  <w:style w:type="paragraph" w:styleId="Heading4">
    <w:name w:val="heading 4"/>
    <w:basedOn w:val="Normal"/>
    <w:next w:val="Normal"/>
    <w:qFormat/>
    <w:pPr>
      <w:keepNext/>
      <w:ind w:left="1440"/>
      <w:jc w:val="both"/>
      <w:outlineLvl w:val="3"/>
    </w:pPr>
    <w:rPr>
      <w:b/>
      <w:bCs/>
      <w:lang w:val="tr-TR"/>
    </w:rPr>
  </w:style>
  <w:style w:type="paragraph" w:styleId="Heading5">
    <w:name w:val="heading 5"/>
    <w:basedOn w:val="Normal"/>
    <w:next w:val="Normal"/>
    <w:qFormat/>
    <w:pPr>
      <w:keepNext/>
      <w:ind w:left="64"/>
      <w:jc w:val="both"/>
      <w:outlineLvl w:val="4"/>
    </w:pPr>
    <w:rPr>
      <w:b/>
      <w:bCs/>
      <w:lang w:val="tr-TR"/>
    </w:rPr>
  </w:style>
  <w:style w:type="paragraph" w:styleId="Heading6">
    <w:name w:val="heading 6"/>
    <w:basedOn w:val="Normal"/>
    <w:next w:val="Normal"/>
    <w:qFormat/>
    <w:pPr>
      <w:keepNext/>
      <w:outlineLvl w:val="5"/>
    </w:pPr>
    <w:rPr>
      <w:rFonts w:ascii="Arial" w:hAnsi="Arial" w:cs="Arial"/>
      <w:b/>
      <w:bCs/>
      <w:i/>
      <w:iCs/>
      <w:sz w:val="18"/>
      <w:szCs w:val="20"/>
      <w:lang w:val="tr-TR"/>
    </w:rPr>
  </w:style>
  <w:style w:type="paragraph" w:styleId="Heading7">
    <w:name w:val="heading 7"/>
    <w:basedOn w:val="Normal"/>
    <w:next w:val="Normal"/>
    <w:qFormat/>
    <w:pPr>
      <w:keepNext/>
      <w:outlineLvl w:val="6"/>
    </w:pPr>
    <w:rPr>
      <w:b/>
      <w:bCs/>
      <w:sz w:val="22"/>
      <w:szCs w:val="20"/>
      <w:lang w:val="tr-TR"/>
    </w:rPr>
  </w:style>
  <w:style w:type="paragraph" w:styleId="Heading8">
    <w:name w:val="heading 8"/>
    <w:basedOn w:val="Normal"/>
    <w:next w:val="Normal"/>
    <w:qFormat/>
    <w:pPr>
      <w:keepNext/>
      <w:ind w:left="180"/>
      <w:outlineLvl w:val="7"/>
    </w:pPr>
    <w:rPr>
      <w:b/>
      <w:bCs/>
      <w:sz w:val="20"/>
      <w:lang w:val="tr-TR"/>
    </w:rPr>
  </w:style>
  <w:style w:type="paragraph" w:styleId="Heading9">
    <w:name w:val="heading 9"/>
    <w:basedOn w:val="Normal"/>
    <w:next w:val="Normal"/>
    <w:qFormat/>
    <w:pPr>
      <w:keepNext/>
      <w:ind w:right="252"/>
      <w:jc w:val="right"/>
      <w:outlineLvl w:val="8"/>
    </w:pPr>
    <w:rPr>
      <w:b/>
      <w:bCs/>
      <w:sz w:val="20"/>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22"/>
      <w:lang w:val="tr-TR"/>
    </w:rPr>
  </w:style>
  <w:style w:type="paragraph" w:styleId="BodyText2">
    <w:name w:val="Body Text 2"/>
    <w:basedOn w:val="Normal"/>
    <w:semiHidden/>
    <w:pPr>
      <w:jc w:val="both"/>
    </w:pPr>
    <w:rPr>
      <w:b/>
      <w:bCs/>
      <w:lang w:val="tr-TR"/>
    </w:rPr>
  </w:style>
  <w:style w:type="paragraph" w:styleId="BodyText3">
    <w:name w:val="Body Text 3"/>
    <w:basedOn w:val="Normal"/>
    <w:semiHidden/>
    <w:pPr>
      <w:jc w:val="both"/>
    </w:pPr>
    <w:rPr>
      <w:color w:val="800080"/>
      <w:sz w:val="22"/>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lang w:val="tr-TR"/>
    </w:rPr>
  </w:style>
  <w:style w:type="paragraph" w:styleId="Heading2">
    <w:name w:val="heading 2"/>
    <w:basedOn w:val="Normal"/>
    <w:next w:val="Normal"/>
    <w:qFormat/>
    <w:pPr>
      <w:keepNext/>
      <w:jc w:val="center"/>
      <w:outlineLvl w:val="1"/>
    </w:pPr>
    <w:rPr>
      <w:b/>
      <w:bCs/>
      <w:sz w:val="22"/>
      <w:lang w:val="tr-TR"/>
    </w:rPr>
  </w:style>
  <w:style w:type="paragraph" w:styleId="Heading3">
    <w:name w:val="heading 3"/>
    <w:basedOn w:val="Normal"/>
    <w:next w:val="Normal"/>
    <w:qFormat/>
    <w:pPr>
      <w:keepNext/>
      <w:jc w:val="center"/>
      <w:outlineLvl w:val="2"/>
    </w:pPr>
    <w:rPr>
      <w:rFonts w:ascii="Arial" w:hAnsi="Arial" w:cs="Arial"/>
      <w:b/>
      <w:bCs/>
      <w:i/>
      <w:iCs/>
      <w:sz w:val="20"/>
      <w:szCs w:val="20"/>
    </w:rPr>
  </w:style>
  <w:style w:type="paragraph" w:styleId="Heading4">
    <w:name w:val="heading 4"/>
    <w:basedOn w:val="Normal"/>
    <w:next w:val="Normal"/>
    <w:qFormat/>
    <w:pPr>
      <w:keepNext/>
      <w:ind w:left="1440"/>
      <w:jc w:val="both"/>
      <w:outlineLvl w:val="3"/>
    </w:pPr>
    <w:rPr>
      <w:b/>
      <w:bCs/>
      <w:lang w:val="tr-TR"/>
    </w:rPr>
  </w:style>
  <w:style w:type="paragraph" w:styleId="Heading5">
    <w:name w:val="heading 5"/>
    <w:basedOn w:val="Normal"/>
    <w:next w:val="Normal"/>
    <w:qFormat/>
    <w:pPr>
      <w:keepNext/>
      <w:ind w:left="64"/>
      <w:jc w:val="both"/>
      <w:outlineLvl w:val="4"/>
    </w:pPr>
    <w:rPr>
      <w:b/>
      <w:bCs/>
      <w:lang w:val="tr-TR"/>
    </w:rPr>
  </w:style>
  <w:style w:type="paragraph" w:styleId="Heading6">
    <w:name w:val="heading 6"/>
    <w:basedOn w:val="Normal"/>
    <w:next w:val="Normal"/>
    <w:qFormat/>
    <w:pPr>
      <w:keepNext/>
      <w:outlineLvl w:val="5"/>
    </w:pPr>
    <w:rPr>
      <w:rFonts w:ascii="Arial" w:hAnsi="Arial" w:cs="Arial"/>
      <w:b/>
      <w:bCs/>
      <w:i/>
      <w:iCs/>
      <w:sz w:val="18"/>
      <w:szCs w:val="20"/>
      <w:lang w:val="tr-TR"/>
    </w:rPr>
  </w:style>
  <w:style w:type="paragraph" w:styleId="Heading7">
    <w:name w:val="heading 7"/>
    <w:basedOn w:val="Normal"/>
    <w:next w:val="Normal"/>
    <w:qFormat/>
    <w:pPr>
      <w:keepNext/>
      <w:outlineLvl w:val="6"/>
    </w:pPr>
    <w:rPr>
      <w:b/>
      <w:bCs/>
      <w:sz w:val="22"/>
      <w:szCs w:val="20"/>
      <w:lang w:val="tr-TR"/>
    </w:rPr>
  </w:style>
  <w:style w:type="paragraph" w:styleId="Heading8">
    <w:name w:val="heading 8"/>
    <w:basedOn w:val="Normal"/>
    <w:next w:val="Normal"/>
    <w:qFormat/>
    <w:pPr>
      <w:keepNext/>
      <w:ind w:left="180"/>
      <w:outlineLvl w:val="7"/>
    </w:pPr>
    <w:rPr>
      <w:b/>
      <w:bCs/>
      <w:sz w:val="20"/>
      <w:lang w:val="tr-TR"/>
    </w:rPr>
  </w:style>
  <w:style w:type="paragraph" w:styleId="Heading9">
    <w:name w:val="heading 9"/>
    <w:basedOn w:val="Normal"/>
    <w:next w:val="Normal"/>
    <w:qFormat/>
    <w:pPr>
      <w:keepNext/>
      <w:ind w:right="252"/>
      <w:jc w:val="right"/>
      <w:outlineLvl w:val="8"/>
    </w:pPr>
    <w:rPr>
      <w:b/>
      <w:bCs/>
      <w:sz w:val="20"/>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22"/>
      <w:lang w:val="tr-TR"/>
    </w:rPr>
  </w:style>
  <w:style w:type="paragraph" w:styleId="BodyText2">
    <w:name w:val="Body Text 2"/>
    <w:basedOn w:val="Normal"/>
    <w:semiHidden/>
    <w:pPr>
      <w:jc w:val="both"/>
    </w:pPr>
    <w:rPr>
      <w:b/>
      <w:bCs/>
      <w:lang w:val="tr-TR"/>
    </w:rPr>
  </w:style>
  <w:style w:type="paragraph" w:styleId="BodyText3">
    <w:name w:val="Body Text 3"/>
    <w:basedOn w:val="Normal"/>
    <w:semiHidden/>
    <w:pPr>
      <w:jc w:val="both"/>
    </w:pPr>
    <w:rPr>
      <w:color w:val="800080"/>
      <w:sz w:val="2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1567</Words>
  <Characters>8933</Characters>
  <Application>Microsoft Office Word</Application>
  <DocSecurity>4</DocSecurity>
  <Lines>74</Lines>
  <Paragraphs>20</Paragraphs>
  <ScaleCrop>false</ScaleCrop>
  <Company>BNP Paribas</Company>
  <LinksUpToDate>false</LinksUpToDate>
  <CharactersWithSpaces>10480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