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9799E" w:rsidRDefault="00207A7A">
      <w:pPr>
        <w:pStyle w:val="PlainText"/>
        <w:jc w:val="right"/>
        <w:rPr>
          <w:rFonts w:ascii="Arial" w:eastAsia="MS Mincho" w:hAnsi="Arial"/>
          <w:sz w:val="22"/>
        </w:rPr>
      </w:pPr>
      <w:bookmarkStart w:id="0" w:name="_GoBack"/>
      <w:bookmarkEnd w:id="0"/>
      <w:r>
        <w:rPr>
          <w:rFonts w:ascii="Arial" w:eastAsia="MS Mincho" w:hAnsi="Arial"/>
          <w:sz w:val="22"/>
        </w:rPr>
        <w:t xml:space="preserve">Monday,14 February 2006 </w:t>
      </w:r>
    </w:p>
    <w:p w:rsidR="0049799E" w:rsidRDefault="0049799E">
      <w:pPr>
        <w:pStyle w:val="PlainText"/>
        <w:jc w:val="center"/>
        <w:rPr>
          <w:rFonts w:ascii="Arial" w:eastAsia="MS Mincho" w:hAnsi="Arial"/>
          <w:b/>
          <w:sz w:val="52"/>
        </w:rPr>
      </w:pPr>
    </w:p>
    <w:p w:rsidR="0049799E" w:rsidRDefault="00207A7A">
      <w:pPr>
        <w:pStyle w:val="PlainText"/>
        <w:jc w:val="center"/>
        <w:rPr>
          <w:rFonts w:ascii="Arial" w:eastAsia="MS Mincho" w:hAnsi="Arial"/>
          <w:lang w:val="en-US"/>
        </w:rPr>
      </w:pPr>
      <w:r>
        <w:rPr>
          <w:rFonts w:ascii="Arial" w:eastAsia="MS Mincho" w:hAnsi="Arial"/>
          <w:lang w:val="en-US"/>
        </w:rPr>
        <w:t>Türk Ekonomi Bank develops cooperation with non-governmental organizations</w:t>
      </w:r>
    </w:p>
    <w:p w:rsidR="0049799E" w:rsidRDefault="0049799E">
      <w:pPr>
        <w:pStyle w:val="PlainText"/>
        <w:jc w:val="both"/>
        <w:rPr>
          <w:rFonts w:ascii="Arial" w:eastAsia="MS Mincho" w:hAnsi="Arial"/>
          <w:lang w:val="en-US"/>
        </w:rPr>
      </w:pPr>
    </w:p>
    <w:p w:rsidR="0049799E" w:rsidRDefault="00207A7A">
      <w:pPr>
        <w:pStyle w:val="PlainText"/>
        <w:jc w:val="center"/>
        <w:rPr>
          <w:rFonts w:ascii="Arial" w:eastAsia="MS Mincho" w:hAnsi="Arial"/>
          <w:b/>
          <w:sz w:val="52"/>
        </w:rPr>
      </w:pPr>
      <w:r>
        <w:rPr>
          <w:rFonts w:ascii="Arial" w:eastAsia="MS Mincho" w:hAnsi="Arial"/>
          <w:b/>
          <w:sz w:val="52"/>
        </w:rPr>
        <w:t>TEB prepares special package for Gaziantep Chamber of Trade members</w:t>
      </w:r>
    </w:p>
    <w:p w:rsidR="0049799E" w:rsidRDefault="0049799E">
      <w:pPr>
        <w:pStyle w:val="PlainText"/>
        <w:jc w:val="center"/>
        <w:rPr>
          <w:rFonts w:ascii="Arial" w:eastAsia="MS Mincho" w:hAnsi="Arial"/>
          <w:i/>
          <w:sz w:val="28"/>
          <w:lang w:val="en-US"/>
        </w:rPr>
      </w:pPr>
    </w:p>
    <w:p w:rsidR="0049799E" w:rsidRDefault="00207A7A">
      <w:pPr>
        <w:pStyle w:val="PlainText"/>
        <w:jc w:val="center"/>
        <w:rPr>
          <w:rFonts w:ascii="Arial" w:eastAsia="MS Mincho" w:hAnsi="Arial"/>
          <w:i/>
          <w:sz w:val="28"/>
          <w:lang w:val="en-US"/>
        </w:rPr>
      </w:pPr>
      <w:r>
        <w:rPr>
          <w:rFonts w:ascii="Arial" w:eastAsia="MS Mincho" w:hAnsi="Arial"/>
          <w:i/>
          <w:sz w:val="28"/>
          <w:lang w:val="en-US"/>
        </w:rPr>
        <w:t>Preparing special credit packages for the benefit of chambers of trade and industry, the Türk Ekonomi Bank has begun offering special credit options for the members of the Gaziantep Chamber of Trade. Chamber members will be able to get loans of up to YTL 1</w:t>
      </w:r>
      <w:r>
        <w:rPr>
          <w:rFonts w:ascii="Arial" w:eastAsia="MS Mincho" w:hAnsi="Arial"/>
          <w:i/>
          <w:sz w:val="28"/>
          <w:lang w:val="en-US"/>
        </w:rPr>
        <w:t>00,000 at 1.50 percent interest for terms ranging from 3 to 36 months.</w:t>
      </w:r>
    </w:p>
    <w:p w:rsidR="0049799E" w:rsidRDefault="0049799E">
      <w:pPr>
        <w:pStyle w:val="PlainText"/>
        <w:jc w:val="center"/>
        <w:rPr>
          <w:rFonts w:ascii="Arial" w:eastAsia="MS Mincho" w:hAnsi="Arial"/>
          <w:i/>
          <w:sz w:val="28"/>
        </w:rPr>
      </w:pPr>
    </w:p>
    <w:p w:rsidR="0049799E" w:rsidRDefault="00207A7A">
      <w:pPr>
        <w:pStyle w:val="PlainText"/>
        <w:jc w:val="both"/>
        <w:rPr>
          <w:rFonts w:ascii="Arial" w:eastAsia="MS Mincho" w:hAnsi="Arial"/>
          <w:lang w:val="en-US"/>
        </w:rPr>
      </w:pPr>
      <w:r>
        <w:rPr>
          <w:rFonts w:ascii="Arial" w:eastAsia="MS Mincho" w:hAnsi="Arial"/>
          <w:lang w:val="en-US"/>
        </w:rPr>
        <w:t>Entering into a partnership in 2005 with the BNP Paribas, the seventh largest bank in the world and the largest in the euro zone, the Türk Ekonomi Bank (TEB) has signed a credit protoc</w:t>
      </w:r>
      <w:r>
        <w:rPr>
          <w:rFonts w:ascii="Arial" w:eastAsia="MS Mincho" w:hAnsi="Arial"/>
          <w:lang w:val="en-US"/>
        </w:rPr>
        <w:t xml:space="preserve">ol with the Gaziantep Chamber of Trade within the framework of </w:t>
      </w:r>
      <w:r>
        <w:rPr>
          <w:rFonts w:ascii="Arial" w:eastAsia="MS Mincho" w:hAnsi="Arial"/>
          <w:highlight w:val="yellow"/>
          <w:lang w:val="en-US"/>
        </w:rPr>
        <w:t>business banking</w:t>
      </w:r>
      <w:r>
        <w:rPr>
          <w:rFonts w:ascii="Arial" w:eastAsia="MS Mincho" w:hAnsi="Arial"/>
          <w:lang w:val="en-US"/>
        </w:rPr>
        <w:t xml:space="preserve">. The cooperation agreement between the two institutions will allow chamber members to receive loans at 1.50 percent interest for terms ranging from 3 to 36 months. </w:t>
      </w:r>
    </w:p>
    <w:p w:rsidR="0049799E" w:rsidRDefault="0049799E">
      <w:pPr>
        <w:pStyle w:val="PlainText"/>
        <w:jc w:val="both"/>
        <w:rPr>
          <w:rFonts w:ascii="Arial" w:eastAsia="MS Mincho" w:hAnsi="Arial"/>
          <w:color w:val="0000FF"/>
          <w:sz w:val="22"/>
        </w:rPr>
      </w:pPr>
    </w:p>
    <w:p w:rsidR="0049799E" w:rsidRDefault="00207A7A">
      <w:pPr>
        <w:pStyle w:val="PlainText"/>
        <w:jc w:val="both"/>
        <w:rPr>
          <w:rFonts w:ascii="Arial" w:eastAsia="MS Mincho" w:hAnsi="Arial"/>
          <w:lang w:val="en-US"/>
        </w:rPr>
      </w:pPr>
      <w:r>
        <w:rPr>
          <w:rFonts w:ascii="Arial" w:eastAsia="MS Mincho" w:hAnsi="Arial"/>
          <w:lang w:val="en-US"/>
        </w:rPr>
        <w:t>The option</w:t>
      </w:r>
      <w:r>
        <w:rPr>
          <w:rFonts w:ascii="Arial" w:eastAsia="MS Mincho" w:hAnsi="Arial"/>
          <w:lang w:val="en-US"/>
        </w:rPr>
        <w:t xml:space="preserve">s TEB offers include loans of up to YTL 100,000 for the members of the Gaziantep Chamber of Trade as well as check books to help the members manage their cash flow, which is a plus on the credit limits and interest rates in competitors’ products. </w:t>
      </w:r>
    </w:p>
    <w:p w:rsidR="0049799E" w:rsidRDefault="0049799E">
      <w:pPr>
        <w:pStyle w:val="PlainText"/>
        <w:jc w:val="both"/>
        <w:rPr>
          <w:rFonts w:ascii="Arial" w:eastAsia="MS Mincho" w:hAnsi="Arial"/>
          <w:color w:val="0000FF"/>
          <w:sz w:val="22"/>
        </w:rPr>
      </w:pPr>
    </w:p>
    <w:p w:rsidR="0049799E" w:rsidRDefault="00207A7A">
      <w:pPr>
        <w:pStyle w:val="PlainText"/>
        <w:jc w:val="both"/>
        <w:rPr>
          <w:rFonts w:ascii="Arial" w:eastAsia="MS Mincho" w:hAnsi="Arial"/>
          <w:color w:val="0000FF"/>
          <w:sz w:val="22"/>
        </w:rPr>
      </w:pPr>
      <w:r>
        <w:rPr>
          <w:rFonts w:ascii="Arial" w:eastAsia="MS Mincho" w:hAnsi="Arial"/>
          <w:lang w:val="en-US"/>
        </w:rPr>
        <w:t>Attribu</w:t>
      </w:r>
      <w:r>
        <w:rPr>
          <w:rFonts w:ascii="Arial" w:eastAsia="MS Mincho" w:hAnsi="Arial"/>
          <w:lang w:val="en-US"/>
        </w:rPr>
        <w:t>ting particular importance to cooperation with non-governmental organizations, TEB prepared compelling options tailored to meet the requirements of the chamber’s member firms and the individual needs of the partners in those firms in the agreement it signe</w:t>
      </w:r>
      <w:r>
        <w:rPr>
          <w:rFonts w:ascii="Arial" w:eastAsia="MS Mincho" w:hAnsi="Arial"/>
          <w:lang w:val="en-US"/>
        </w:rPr>
        <w:t xml:space="preserve">d with the Gaziantep Chamber of Trade. All members of the Gaziantep Chamber of Trade that receive loans can have a Source Account </w:t>
      </w:r>
      <w:r>
        <w:rPr>
          <w:rFonts w:ascii="Arial" w:eastAsia="MS Mincho" w:hAnsi="Arial"/>
          <w:highlight w:val="yellow"/>
          <w:lang w:val="en-US"/>
        </w:rPr>
        <w:t>(Overdraft Account)</w:t>
      </w:r>
      <w:r>
        <w:rPr>
          <w:rFonts w:ascii="Arial" w:eastAsia="MS Mincho" w:hAnsi="Arial"/>
          <w:lang w:val="en-US"/>
        </w:rPr>
        <w:t xml:space="preserve"> in a certain proportion to the amount of the loan they receive. The Source Account will enable businessmen</w:t>
      </w:r>
      <w:r>
        <w:rPr>
          <w:rFonts w:ascii="Arial" w:eastAsia="MS Mincho" w:hAnsi="Arial"/>
          <w:lang w:val="en-US"/>
        </w:rPr>
        <w:t xml:space="preserve"> to discharge their payment obligations such as bills, checks, and taxes even when there is no money in their balance and to use credit in cash whenever they need without any formalities.</w:t>
      </w:r>
    </w:p>
    <w:p w:rsidR="0049799E" w:rsidRDefault="0049799E">
      <w:pPr>
        <w:pStyle w:val="PlainText"/>
        <w:jc w:val="both"/>
        <w:rPr>
          <w:rFonts w:ascii="Arial" w:hAnsi="Arial" w:cs="Arial"/>
          <w:color w:val="0000FF"/>
          <w:sz w:val="22"/>
          <w:szCs w:val="20"/>
        </w:rPr>
      </w:pPr>
    </w:p>
    <w:p w:rsidR="0049799E" w:rsidRDefault="00207A7A">
      <w:pPr>
        <w:pStyle w:val="PlainText"/>
        <w:jc w:val="both"/>
        <w:rPr>
          <w:rFonts w:ascii="Arial" w:hAnsi="Arial" w:cs="Arial"/>
          <w:color w:val="0000FF"/>
          <w:sz w:val="22"/>
          <w:szCs w:val="20"/>
        </w:rPr>
      </w:pPr>
      <w:r>
        <w:rPr>
          <w:rFonts w:ascii="Arial" w:eastAsia="MS Mincho" w:hAnsi="Arial"/>
          <w:lang w:val="en-US"/>
        </w:rPr>
        <w:lastRenderedPageBreak/>
        <w:t>The credit protocol was signed at the Gaziantep Chamber of Trade by</w:t>
      </w:r>
      <w:r>
        <w:rPr>
          <w:rFonts w:ascii="Arial" w:eastAsia="MS Mincho" w:hAnsi="Arial"/>
          <w:lang w:val="en-US"/>
        </w:rPr>
        <w:t xml:space="preserve"> the Deputy President of the Gaziantep Chamber of Trade Hanefi Yılmaz and TEB’s Gaziantep Branch Manager Tevfik Şatıroğlu.</w:t>
      </w:r>
      <w:r>
        <w:rPr>
          <w:rFonts w:ascii="Arial" w:hAnsi="Arial" w:cs="Arial"/>
          <w:color w:val="0000FF"/>
          <w:sz w:val="22"/>
          <w:szCs w:val="20"/>
        </w:rPr>
        <w:t xml:space="preserve"> </w:t>
      </w:r>
    </w:p>
    <w:p w:rsidR="0049799E" w:rsidRDefault="0049799E">
      <w:pPr>
        <w:pStyle w:val="PlainText"/>
        <w:jc w:val="both"/>
        <w:rPr>
          <w:rFonts w:ascii="Arial" w:eastAsia="MS Mincho" w:hAnsi="Arial"/>
          <w:lang w:val="en-US"/>
        </w:rPr>
      </w:pPr>
    </w:p>
    <w:p w:rsidR="0049799E" w:rsidRDefault="00207A7A">
      <w:pPr>
        <w:pStyle w:val="PlainText"/>
        <w:jc w:val="both"/>
        <w:rPr>
          <w:rFonts w:ascii="Arial" w:eastAsia="MS Mincho" w:hAnsi="Arial"/>
          <w:color w:val="0000FF"/>
          <w:sz w:val="22"/>
        </w:rPr>
      </w:pPr>
      <w:r>
        <w:rPr>
          <w:rFonts w:ascii="Arial" w:eastAsia="MS Mincho" w:hAnsi="Arial"/>
          <w:lang w:val="en-US"/>
        </w:rPr>
        <w:t xml:space="preserve">Speaking before the signature ceremony, TEB’s Gaziantep Branch Manager Tevfik Şatıroğlu noted that TEB attributed great importance </w:t>
      </w:r>
      <w:r>
        <w:rPr>
          <w:rFonts w:ascii="Arial" w:eastAsia="MS Mincho" w:hAnsi="Arial"/>
          <w:lang w:val="en-US"/>
        </w:rPr>
        <w:t xml:space="preserve">to cooperation with non-governmental organizations. Tevfik Şatıroğlu went on to say, “As TEB, we are developing our activities with non-governmental organizations. Following our cooperation with the Chambers of Trade of Ankara and </w:t>
      </w:r>
      <w:r>
        <w:rPr>
          <w:rFonts w:ascii="Arial" w:eastAsia="MS Mincho" w:hAnsi="Arial"/>
          <w:highlight w:val="yellow"/>
          <w:lang w:val="en-US"/>
        </w:rPr>
        <w:t>Gaziantep</w:t>
      </w:r>
      <w:r>
        <w:rPr>
          <w:rFonts w:ascii="Arial" w:eastAsia="MS Mincho" w:hAnsi="Arial"/>
          <w:lang w:val="en-US"/>
        </w:rPr>
        <w:t>, and the Malaty</w:t>
      </w:r>
      <w:r>
        <w:rPr>
          <w:rFonts w:ascii="Arial" w:eastAsia="MS Mincho" w:hAnsi="Arial"/>
          <w:lang w:val="en-US"/>
        </w:rPr>
        <w:t xml:space="preserve">a Chamber of Trade and Industry, we have begun working with the </w:t>
      </w:r>
      <w:r>
        <w:rPr>
          <w:rFonts w:ascii="Arial" w:eastAsia="MS Mincho" w:hAnsi="Arial"/>
          <w:highlight w:val="yellow"/>
          <w:lang w:val="en-US"/>
        </w:rPr>
        <w:t>Gaziantep</w:t>
      </w:r>
      <w:r>
        <w:rPr>
          <w:rFonts w:ascii="Arial" w:eastAsia="MS Mincho" w:hAnsi="Arial"/>
          <w:lang w:val="en-US"/>
        </w:rPr>
        <w:t xml:space="preserve"> Chamber of Trade. We haven’t set a limit to our loan estimates but we hope to get plenty of applications.”</w:t>
      </w:r>
      <w:r>
        <w:rPr>
          <w:rFonts w:ascii="Arial" w:eastAsia="MS Mincho" w:hAnsi="Arial"/>
          <w:color w:val="0000FF"/>
          <w:sz w:val="22"/>
        </w:rPr>
        <w:t xml:space="preserve"> </w:t>
      </w:r>
    </w:p>
    <w:p w:rsidR="0049799E" w:rsidRDefault="0049799E">
      <w:pPr>
        <w:pStyle w:val="PlainText"/>
        <w:jc w:val="both"/>
        <w:rPr>
          <w:rFonts w:ascii="Arial" w:eastAsia="MS Mincho" w:hAnsi="Arial"/>
          <w:color w:val="0000FF"/>
          <w:sz w:val="22"/>
        </w:rPr>
      </w:pPr>
    </w:p>
    <w:p w:rsidR="0049799E" w:rsidRDefault="0049799E">
      <w:pPr>
        <w:pStyle w:val="PlainText"/>
        <w:jc w:val="both"/>
        <w:rPr>
          <w:rFonts w:ascii="Arial" w:eastAsia="MS Mincho" w:hAnsi="Arial"/>
          <w:color w:val="0000FF"/>
          <w:sz w:val="22"/>
        </w:rPr>
      </w:pPr>
    </w:p>
    <w:p w:rsidR="0049799E" w:rsidRDefault="00207A7A">
      <w:pPr>
        <w:pStyle w:val="PlainText"/>
        <w:jc w:val="both"/>
        <w:rPr>
          <w:rFonts w:ascii="Arial" w:eastAsia="MS Mincho" w:hAnsi="Arial"/>
          <w:b/>
          <w:bCs/>
          <w:color w:val="0000FF"/>
          <w:sz w:val="32"/>
          <w:u w:val="single"/>
        </w:rPr>
      </w:pPr>
      <w:r>
        <w:rPr>
          <w:rFonts w:ascii="Arial" w:eastAsia="MS Mincho" w:hAnsi="Arial"/>
          <w:b/>
          <w:bCs/>
          <w:color w:val="0000FF"/>
          <w:sz w:val="32"/>
          <w:u w:val="single"/>
        </w:rPr>
        <w:t>TERCÜMEYLE İLGİLİ NOT:</w:t>
      </w:r>
    </w:p>
    <w:p w:rsidR="0049799E" w:rsidRDefault="0049799E">
      <w:pPr>
        <w:pStyle w:val="PlainText"/>
        <w:jc w:val="both"/>
        <w:rPr>
          <w:rFonts w:ascii="Arial" w:eastAsia="MS Mincho" w:hAnsi="Arial"/>
          <w:b/>
          <w:bCs/>
          <w:color w:val="0000FF"/>
          <w:sz w:val="32"/>
          <w:u w:val="single"/>
        </w:rPr>
      </w:pPr>
    </w:p>
    <w:p w:rsidR="0049799E" w:rsidRDefault="00207A7A">
      <w:pPr>
        <w:pStyle w:val="PlainText"/>
        <w:jc w:val="both"/>
        <w:rPr>
          <w:rFonts w:ascii="Arial" w:eastAsia="MS Mincho" w:hAnsi="Arial"/>
          <w:color w:val="0000FF"/>
          <w:sz w:val="32"/>
        </w:rPr>
      </w:pPr>
      <w:r>
        <w:rPr>
          <w:rFonts w:ascii="Arial" w:eastAsia="MS Mincho" w:hAnsi="Arial"/>
          <w:color w:val="0000FF"/>
          <w:sz w:val="32"/>
        </w:rPr>
        <w:t xml:space="preserve">Yukarıdaki son paragrafta her ne kadar şehir </w:t>
      </w:r>
      <w:r>
        <w:rPr>
          <w:rFonts w:ascii="Arial" w:eastAsia="MS Mincho" w:hAnsi="Arial"/>
          <w:color w:val="0000FF"/>
          <w:sz w:val="32"/>
        </w:rPr>
        <w:t xml:space="preserve">isimleri Türkçe metindeki gibi tercüme edilmişse de, metnin bu haliyle, </w:t>
      </w:r>
    </w:p>
    <w:p w:rsidR="0049799E" w:rsidRDefault="0049799E">
      <w:pPr>
        <w:pStyle w:val="PlainText"/>
        <w:jc w:val="both"/>
        <w:rPr>
          <w:rFonts w:ascii="Arial" w:eastAsia="MS Mincho" w:hAnsi="Arial"/>
          <w:color w:val="0000FF"/>
          <w:sz w:val="32"/>
        </w:rPr>
      </w:pPr>
    </w:p>
    <w:p w:rsidR="0049799E" w:rsidRDefault="00207A7A">
      <w:pPr>
        <w:pStyle w:val="PlainText"/>
        <w:jc w:val="both"/>
        <w:rPr>
          <w:rFonts w:ascii="Arial" w:eastAsia="MS Mincho" w:hAnsi="Arial"/>
          <w:color w:val="0000FF"/>
          <w:sz w:val="32"/>
        </w:rPr>
      </w:pPr>
      <w:r>
        <w:rPr>
          <w:rFonts w:ascii="Arial" w:eastAsia="MS Mincho" w:hAnsi="Arial"/>
          <w:color w:val="0000FF"/>
          <w:sz w:val="32"/>
        </w:rPr>
        <w:t>“</w:t>
      </w:r>
      <w:r>
        <w:rPr>
          <w:rFonts w:ascii="Arial" w:eastAsia="MS Mincho" w:hAnsi="Arial"/>
          <w:color w:val="0000FF"/>
          <w:sz w:val="32"/>
          <w:highlight w:val="yellow"/>
        </w:rPr>
        <w:t>Gaziantep Ticaret Odası</w:t>
      </w:r>
      <w:r>
        <w:rPr>
          <w:rFonts w:ascii="Arial" w:eastAsia="MS Mincho" w:hAnsi="Arial"/>
          <w:color w:val="0000FF"/>
          <w:sz w:val="32"/>
        </w:rPr>
        <w:t xml:space="preserve">ndan sonra </w:t>
      </w:r>
      <w:r>
        <w:rPr>
          <w:rFonts w:ascii="Arial" w:eastAsia="MS Mincho" w:hAnsi="Arial"/>
          <w:color w:val="0000FF"/>
          <w:sz w:val="32"/>
          <w:highlight w:val="yellow"/>
        </w:rPr>
        <w:t>Gaziantep Ticaret Odası</w:t>
      </w:r>
      <w:r>
        <w:rPr>
          <w:rFonts w:ascii="Arial" w:eastAsia="MS Mincho" w:hAnsi="Arial"/>
          <w:color w:val="0000FF"/>
          <w:sz w:val="32"/>
        </w:rPr>
        <w:t xml:space="preserve">yla da işbirliği yaptık” </w:t>
      </w:r>
    </w:p>
    <w:p w:rsidR="0049799E" w:rsidRDefault="0049799E">
      <w:pPr>
        <w:pStyle w:val="PlainText"/>
        <w:jc w:val="both"/>
        <w:rPr>
          <w:rFonts w:ascii="Arial" w:eastAsia="MS Mincho" w:hAnsi="Arial"/>
          <w:color w:val="0000FF"/>
          <w:sz w:val="32"/>
        </w:rPr>
      </w:pPr>
    </w:p>
    <w:p w:rsidR="0049799E" w:rsidRDefault="00207A7A">
      <w:pPr>
        <w:pStyle w:val="PlainText"/>
        <w:jc w:val="both"/>
        <w:rPr>
          <w:rFonts w:ascii="Arial" w:eastAsia="MS Mincho" w:hAnsi="Arial"/>
          <w:color w:val="0000FF"/>
          <w:sz w:val="32"/>
        </w:rPr>
      </w:pPr>
      <w:r>
        <w:rPr>
          <w:rFonts w:ascii="Arial" w:eastAsia="MS Mincho" w:hAnsi="Arial"/>
          <w:color w:val="0000FF"/>
          <w:sz w:val="32"/>
        </w:rPr>
        <w:t>gibi bir anlam ortaya çıktığına dikkat çekilmesinde fayda görülmektedir.</w:t>
      </w:r>
    </w:p>
    <w:p w:rsidR="0049799E" w:rsidRDefault="0049799E">
      <w:pPr>
        <w:pStyle w:val="PlainText"/>
        <w:jc w:val="both"/>
        <w:rPr>
          <w:rFonts w:ascii="Arial" w:eastAsia="MS Mincho" w:hAnsi="Arial"/>
          <w:color w:val="0000FF"/>
          <w:sz w:val="20"/>
        </w:rPr>
      </w:pPr>
    </w:p>
    <w:sectPr w:rsidR="0049799E">
      <w:pgSz w:w="12240" w:h="15840"/>
      <w:pgMar w:top="2268" w:right="1701" w:bottom="1701" w:left="1701" w:header="708" w:footer="708" w:gutter="0"/>
      <w:cols w:space="708"/>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A2"/>
    <w:family w:val="roman"/>
    <w:pitch w:val="variable"/>
    <w:sig w:usb0="E0002AFF" w:usb1="C0007841" w:usb2="00000009" w:usb3="00000000" w:csb0="000001FF" w:csb1="00000000"/>
  </w:font>
  <w:font w:name="Arial">
    <w:panose1 w:val="020B0604020202020204"/>
    <w:charset w:val="A2"/>
    <w:family w:val="swiss"/>
    <w:pitch w:val="variable"/>
    <w:sig w:usb0="E0002AFF" w:usb1="C0007843" w:usb2="00000009" w:usb3="00000000" w:csb0="000001FF" w:csb1="00000000"/>
  </w:font>
  <w:font w:name="Lucida Grande">
    <w:charset w:val="00"/>
    <w:family w:val="auto"/>
    <w:pitch w:val="variable"/>
    <w:sig w:usb0="03000000" w:usb1="00000000" w:usb2="00000000" w:usb3="00000000" w:csb0="00000001" w:csb1="00000000"/>
  </w:font>
  <w:font w:name="Courier">
    <w:panose1 w:val="02070409020205020404"/>
    <w:charset w:val="00"/>
    <w:family w:val="modern"/>
    <w:notTrueType/>
    <w:pitch w:val="fixed"/>
    <w:sig w:usb0="00000003" w:usb1="00000000" w:usb2="00000000" w:usb3="00000000" w:csb0="00000001" w:csb1="00000000"/>
  </w:font>
  <w:font w:name="Arial Unicode MS">
    <w:panose1 w:val="020B0604020202020204"/>
    <w:charset w:val="00"/>
    <w:family w:val="roman"/>
    <w:notTrueType/>
    <w:pitch w:val="variable"/>
    <w:sig w:usb0="00000003" w:usb1="00000000" w:usb2="00000000" w:usb3="00000000" w:csb0="00000001" w:csb1="00000000"/>
  </w:font>
  <w:font w:name="MS Mincho">
    <w:altName w:val="ＭＳ 明朝"/>
    <w:panose1 w:val="02020609040205080304"/>
    <w:charset w:val="80"/>
    <w:family w:val="roman"/>
    <w:notTrueType/>
    <w:pitch w:val="fixed"/>
    <w:sig w:usb0="00000001" w:usb1="08070000" w:usb2="00000010" w:usb3="00000000" w:csb0="00020000" w:csb1="00000000"/>
  </w:font>
  <w:font w:name="Cambria">
    <w:panose1 w:val="02040503050406030204"/>
    <w:charset w:val="A2"/>
    <w:family w:val="roman"/>
    <w:pitch w:val="variable"/>
    <w:sig w:usb0="E00002FF" w:usb1="400004FF" w:usb2="00000000" w:usb3="00000000" w:csb0="0000019F" w:csb1="00000000"/>
  </w:font>
  <w:font w:name="Calibri">
    <w:panose1 w:val="020F0502020204030204"/>
    <w:charset w:val="A2"/>
    <w:family w:val="swiss"/>
    <w:pitch w:val="variable"/>
    <w:sig w:usb0="E00002FF" w:usb1="4000ACFF" w:usb2="00000001"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15"/>
  <w:hideSpellingErrors/>
  <w:hideGrammaticalErrors/>
  <w:defaultTabStop w:val="720"/>
  <w:hyphenationZone w:val="425"/>
  <w:displayHorizontalDrawingGridEvery w:val="0"/>
  <w:displayVerticalDrawingGridEvery w:val="0"/>
  <w:doNotUseMarginsForDrawingGridOrigin/>
  <w:noPunctuationKerning/>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9029B"/>
    <w:rsid w:val="00207A7A"/>
    <w:rsid w:val="0039029B"/>
    <w:rsid w:val="0049799E"/>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tr-TR" w:eastAsia="tr-T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rFonts w:ascii="Arial" w:hAnsi="Arial"/>
      <w:sz w:val="24"/>
      <w:szCs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semiHidden/>
    <w:rPr>
      <w:rFonts w:ascii="Lucida Grande" w:hAnsi="Lucida Grande"/>
      <w:sz w:val="18"/>
      <w:szCs w:val="18"/>
    </w:rPr>
  </w:style>
  <w:style w:type="paragraph" w:styleId="PlainText">
    <w:name w:val="Plain Text"/>
    <w:basedOn w:val="Normal"/>
    <w:semiHidden/>
    <w:rPr>
      <w:rFonts w:ascii="Courier" w:hAnsi="Courier"/>
    </w:rPr>
  </w:style>
  <w:style w:type="character" w:styleId="Hyperlink">
    <w:name w:val="Hyperlink"/>
    <w:basedOn w:val="DefaultParagraphFont"/>
    <w:semiHidden/>
    <w:rPr>
      <w:color w:val="0000FF"/>
      <w:u w:val="single"/>
    </w:rPr>
  </w:style>
  <w:style w:type="paragraph" w:styleId="NormalWeb">
    <w:name w:val="Normal (Web)"/>
    <w:basedOn w:val="Normal"/>
    <w:semiHidden/>
    <w:pPr>
      <w:spacing w:before="100" w:beforeAutospacing="1" w:after="100" w:afterAutospacing="1"/>
    </w:pPr>
    <w:rPr>
      <w:rFonts w:ascii="Arial Unicode MS" w:eastAsia="Arial Unicode MS" w:hAnsi="Arial Unicode MS" w:cs="Arial Unicode MS"/>
      <w:lang w:eastAsia="tr-TR"/>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tr-TR" w:eastAsia="tr-T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rFonts w:ascii="Arial" w:hAnsi="Arial"/>
      <w:sz w:val="24"/>
      <w:szCs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semiHidden/>
    <w:rPr>
      <w:rFonts w:ascii="Lucida Grande" w:hAnsi="Lucida Grande"/>
      <w:sz w:val="18"/>
      <w:szCs w:val="18"/>
    </w:rPr>
  </w:style>
  <w:style w:type="paragraph" w:styleId="PlainText">
    <w:name w:val="Plain Text"/>
    <w:basedOn w:val="Normal"/>
    <w:semiHidden/>
    <w:rPr>
      <w:rFonts w:ascii="Courier" w:hAnsi="Courier"/>
    </w:rPr>
  </w:style>
  <w:style w:type="character" w:styleId="Hyperlink">
    <w:name w:val="Hyperlink"/>
    <w:basedOn w:val="DefaultParagraphFont"/>
    <w:semiHidden/>
    <w:rPr>
      <w:color w:val="0000FF"/>
      <w:u w:val="single"/>
    </w:rPr>
  </w:style>
  <w:style w:type="paragraph" w:styleId="NormalWeb">
    <w:name w:val="Normal (Web)"/>
    <w:basedOn w:val="Normal"/>
    <w:semiHidden/>
    <w:pPr>
      <w:spacing w:before="100" w:beforeAutospacing="1" w:after="100" w:afterAutospacing="1"/>
    </w:pPr>
    <w:rPr>
      <w:rFonts w:ascii="Arial Unicode MS" w:eastAsia="Arial Unicode MS" w:hAnsi="Arial Unicode MS" w:cs="Arial Unicode MS"/>
      <w:lang w:eastAsia="tr-T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2</Pages>
  <Words>441</Words>
  <Characters>2520</Characters>
  <Application>Microsoft Office Word</Application>
  <DocSecurity>4</DocSecurity>
  <Lines>21</Lines>
  <Paragraphs>5</Paragraphs>
  <ScaleCrop>false</ScaleCrop>
  <Company>BNP Paribas</Company>
  <LinksUpToDate>false</LinksUpToDate>
  <CharactersWithSpaces>2956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P23808</cp:lastModifiedBy>
  <cp:revision>2</cp:revision>
  <dcterms:created xsi:type="dcterms:W3CDTF">2016-11-28T07:01:00Z</dcterms:created>
  <dcterms:modified xsi:type="dcterms:W3CDTF">2016-11-28T07:01:00Z</dcterms:modified>
</cp:coreProperties>
</file>