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D50" w:rsidRDefault="003E09E1">
      <w:pPr>
        <w:pStyle w:val="Title"/>
        <w:spacing w:after="120"/>
        <w:rPr>
          <w:rFonts w:ascii="Arial" w:hAnsi="Arial" w:cs="Arial"/>
          <w:sz w:val="56"/>
          <w:lang w:val="en-US"/>
        </w:rPr>
      </w:pPr>
      <w:bookmarkStart w:id="0" w:name="_GoBack"/>
      <w:bookmarkEnd w:id="0"/>
      <w:r>
        <w:rPr>
          <w:rFonts w:ascii="Arial" w:hAnsi="Arial" w:cs="Arial"/>
          <w:sz w:val="56"/>
          <w:lang w:val="en-US"/>
        </w:rPr>
        <w:t>TEB’s net profit in three quarters grows by 138 percent to reach YTL 63.4 million</w:t>
      </w:r>
    </w:p>
    <w:p w:rsidR="00537D50" w:rsidRDefault="003E09E1">
      <w:pPr>
        <w:spacing w:after="120"/>
        <w:jc w:val="center"/>
        <w:rPr>
          <w:rFonts w:ascii="Arial" w:hAnsi="Arial" w:cs="Arial"/>
          <w:b/>
          <w:bCs/>
          <w:color w:val="000000"/>
          <w:sz w:val="26"/>
          <w:szCs w:val="17"/>
          <w:lang w:val="en-US"/>
        </w:rPr>
      </w:pPr>
      <w:r>
        <w:rPr>
          <w:rFonts w:ascii="Arial" w:hAnsi="Arial" w:cs="Arial"/>
          <w:b/>
          <w:bCs/>
          <w:color w:val="000000"/>
          <w:sz w:val="26"/>
          <w:szCs w:val="17"/>
          <w:lang w:val="en-US"/>
        </w:rPr>
        <w:t xml:space="preserve">Having become partners last February with the seventh largest bank in the world and the largest in the euro zone, the Türk Ekonomi Bank (TEB) grossed YTL 92,689,000 in </w:t>
      </w:r>
      <w:r>
        <w:rPr>
          <w:rFonts w:ascii="Arial" w:hAnsi="Arial" w:cs="Arial"/>
          <w:b/>
          <w:bCs/>
          <w:color w:val="000000"/>
          <w:sz w:val="26"/>
          <w:szCs w:val="17"/>
          <w:lang w:val="en-US"/>
        </w:rPr>
        <w:t>profits during the first three quarters of 2005. TEB’s net profit during the same period turned out at YTL 63,414,000 displaying a 138.87-percent increase with respect to the corresponding period in the previous year.</w:t>
      </w:r>
    </w:p>
    <w:p w:rsidR="00537D50" w:rsidRDefault="003E09E1">
      <w:pPr>
        <w:pStyle w:val="BodyText2"/>
        <w:spacing w:after="120"/>
        <w:rPr>
          <w:b/>
          <w:bCs/>
          <w:lang w:val="en-US"/>
        </w:rPr>
      </w:pPr>
      <w:r>
        <w:rPr>
          <w:sz w:val="24"/>
          <w:lang w:val="en-US"/>
        </w:rPr>
        <w:t>Having become partners last February w</w:t>
      </w:r>
      <w:r>
        <w:rPr>
          <w:sz w:val="24"/>
          <w:lang w:val="en-US"/>
        </w:rPr>
        <w:t>ith the seventh largest bank in the world and the largest in the euro zone, the Türk Ekonomi Bank grossed YTL 92,689,000 in profits during the first three quarters of 2005. TEB’s net profit during the same period turned out at YTL 63,414,000 displaying a 1</w:t>
      </w:r>
      <w:r>
        <w:rPr>
          <w:sz w:val="24"/>
          <w:lang w:val="en-US"/>
        </w:rPr>
        <w:t>38.87-percent increase with respect to the corresponding period in the previous year.</w:t>
      </w:r>
    </w:p>
    <w:p w:rsidR="00537D50" w:rsidRDefault="003E09E1">
      <w:pPr>
        <w:pStyle w:val="BodyText2"/>
        <w:spacing w:after="120"/>
        <w:rPr>
          <w:sz w:val="24"/>
          <w:lang w:val="en-US"/>
        </w:rPr>
      </w:pPr>
      <w:r>
        <w:rPr>
          <w:sz w:val="24"/>
          <w:lang w:val="en-US"/>
        </w:rPr>
        <w:t xml:space="preserve">According to a disclosure made by TEB, the bank’s total assets grew by 26.89 percent with respect to EOY 2004 to reach YTL 4,524,324,000 as of the end of September 2005. </w:t>
      </w:r>
      <w:r>
        <w:rPr>
          <w:sz w:val="24"/>
          <w:lang w:val="en-US"/>
        </w:rPr>
        <w:t xml:space="preserve">TEB’s total loans grew by 62.47 percent with respect to EOY 2004 to reach YTL 2,574,675,000 during the first nine months of 2005. </w:t>
      </w:r>
    </w:p>
    <w:p w:rsidR="00537D50" w:rsidRDefault="003E09E1">
      <w:pPr>
        <w:spacing w:after="120"/>
        <w:jc w:val="both"/>
        <w:rPr>
          <w:rFonts w:ascii="Arial" w:hAnsi="Arial" w:cs="Arial"/>
          <w:lang w:val="en-US"/>
        </w:rPr>
      </w:pPr>
      <w:r>
        <w:rPr>
          <w:rFonts w:ascii="Arial" w:hAnsi="Arial" w:cs="Arial"/>
          <w:color w:val="000000"/>
          <w:szCs w:val="17"/>
          <w:lang w:val="en-US"/>
        </w:rPr>
        <w:t>TEB increased its deposits to YTL 2,987,600,000 during the first nine months of this year with a 32.2-percent growth with res</w:t>
      </w:r>
      <w:r>
        <w:rPr>
          <w:rFonts w:ascii="Arial" w:hAnsi="Arial" w:cs="Arial"/>
          <w:color w:val="000000"/>
          <w:szCs w:val="17"/>
          <w:lang w:val="en-US"/>
        </w:rPr>
        <w:t xml:space="preserve">pect to the end of last year. TEB also increased its equity capital to YTL ..................... realizing a capital adequacy ratio </w:t>
      </w:r>
      <w:r>
        <w:rPr>
          <w:rFonts w:ascii="Arial" w:hAnsi="Arial" w:cs="Arial"/>
          <w:lang w:val="en-US"/>
        </w:rPr>
        <w:t>of ......... percent.</w:t>
      </w:r>
    </w:p>
    <w:p w:rsidR="00537D50" w:rsidRDefault="003E09E1">
      <w:pPr>
        <w:spacing w:after="120"/>
        <w:jc w:val="both"/>
        <w:rPr>
          <w:rFonts w:ascii="Arial" w:hAnsi="Arial" w:cs="Arial"/>
          <w:color w:val="000000"/>
          <w:szCs w:val="17"/>
          <w:lang w:val="en-US"/>
        </w:rPr>
      </w:pPr>
      <w:r>
        <w:rPr>
          <w:rFonts w:ascii="Arial" w:hAnsi="Arial" w:cs="Arial"/>
          <w:color w:val="000000"/>
          <w:szCs w:val="17"/>
          <w:lang w:val="en-US"/>
        </w:rPr>
        <w:t>TEB General Manager Varol Civil commented, “Our balance sheet is a numerical reflection of the continu</w:t>
      </w:r>
      <w:r>
        <w:rPr>
          <w:rFonts w:ascii="Arial" w:hAnsi="Arial" w:cs="Arial"/>
          <w:color w:val="000000"/>
          <w:szCs w:val="17"/>
          <w:lang w:val="en-US"/>
        </w:rPr>
        <w:t xml:space="preserve">ation of the publicly known robust and stable financial structure of our bank after our partnership with BNP Paribas as well as the increase in our effectiveness in the market. The rise in the amount of loans stems from the expansion of our branch network </w:t>
      </w:r>
      <w:r>
        <w:rPr>
          <w:rFonts w:ascii="Arial" w:hAnsi="Arial" w:cs="Arial"/>
          <w:color w:val="000000"/>
          <w:szCs w:val="17"/>
          <w:lang w:val="en-US"/>
        </w:rPr>
        <w:t xml:space="preserve">and the resulting growth in the number of customers. Our focus on individual customers and small-to-medium-sized businesses has brought about a significant boost in loans. Our deeper engagement in the realm of large commercial and corporate customers also </w:t>
      </w:r>
      <w:r>
        <w:rPr>
          <w:rFonts w:ascii="Arial" w:hAnsi="Arial" w:cs="Arial"/>
          <w:color w:val="000000"/>
          <w:szCs w:val="17"/>
          <w:lang w:val="en-US"/>
        </w:rPr>
        <w:t>played a major role in the increase in our profits. Despite this remarkable rise in total loans, the ratio of our loans under watch was ........ percent which is below the sector average as always thanks to our meticulous and watchful style of doing busine</w:t>
      </w:r>
      <w:r>
        <w:rPr>
          <w:rFonts w:ascii="Arial" w:hAnsi="Arial" w:cs="Arial"/>
          <w:color w:val="000000"/>
          <w:szCs w:val="17"/>
          <w:lang w:val="en-US"/>
        </w:rPr>
        <w:t>ss.”</w:t>
      </w:r>
    </w:p>
    <w:p w:rsidR="00537D50" w:rsidRDefault="00537D50">
      <w:pPr>
        <w:jc w:val="both"/>
        <w:rPr>
          <w:rFonts w:ascii="Arial" w:hAnsi="Arial" w:cs="Arial"/>
          <w:color w:val="000000"/>
          <w:szCs w:val="17"/>
          <w:lang w:val="en-US"/>
        </w:rPr>
      </w:pPr>
    </w:p>
    <w:p w:rsidR="00537D50" w:rsidRDefault="00537D50">
      <w:pPr>
        <w:jc w:val="both"/>
        <w:rPr>
          <w:rFonts w:ascii="Arial" w:hAnsi="Arial" w:cs="Arial"/>
          <w:color w:val="000000"/>
          <w:szCs w:val="17"/>
          <w:lang w:val="en-US"/>
        </w:rPr>
      </w:pPr>
    </w:p>
    <w:sectPr w:rsidR="00537D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F64"/>
    <w:rsid w:val="003E09E1"/>
    <w:rsid w:val="00537D50"/>
    <w:rsid w:val="00EF2F6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Tahoma" w:hAnsi="Tahoma" w:cs="Tahoma"/>
      <w:b/>
      <w:bCs/>
      <w:sz w:val="22"/>
      <w:lang w:val="en-US" w:eastAsia="en-US"/>
    </w:rPr>
  </w:style>
  <w:style w:type="paragraph" w:styleId="Heading3">
    <w:name w:val="heading 3"/>
    <w:basedOn w:val="Normal"/>
    <w:next w:val="Normal"/>
    <w:qFormat/>
    <w:pPr>
      <w:keepNext/>
      <w:jc w:val="both"/>
      <w:outlineLvl w:val="2"/>
    </w:pPr>
    <w:rPr>
      <w:rFonts w:ascii="Tahoma" w:hAnsi="Tahoma" w:cs="Tahoma"/>
      <w:b/>
      <w:bCs/>
      <w:i/>
      <w:iCs/>
      <w:lang w:val="en-US" w:eastAsia="en-US"/>
    </w:rPr>
  </w:style>
  <w:style w:type="paragraph" w:styleId="Heading5">
    <w:name w:val="heading 5"/>
    <w:basedOn w:val="Normal"/>
    <w:next w:val="Normal"/>
    <w:qFormat/>
    <w:pPr>
      <w:keepNext/>
      <w:jc w:val="center"/>
      <w:outlineLvl w:val="4"/>
    </w:pPr>
    <w:rPr>
      <w:rFonts w:ascii="Tahoma" w:hAnsi="Tahoma" w:cs="Tahoma"/>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slikkirmizi111">
    <w:name w:val="baslikkirmizi111"/>
    <w:basedOn w:val="DefaultParagraphFont"/>
    <w:rPr>
      <w:rFonts w:ascii="Arial" w:hAnsi="Arial" w:cs="Arial" w:hint="default"/>
      <w:b/>
      <w:bCs/>
      <w:color w:val="FF0000"/>
      <w:sz w:val="19"/>
      <w:szCs w:val="19"/>
    </w:rPr>
  </w:style>
  <w:style w:type="character" w:styleId="Strong">
    <w:name w:val="Strong"/>
    <w:basedOn w:val="DefaultParagraphFont"/>
    <w:qFormat/>
    <w:rPr>
      <w:b/>
      <w:bCs/>
    </w:rPr>
  </w:style>
  <w:style w:type="paragraph" w:styleId="Title">
    <w:name w:val="Title"/>
    <w:basedOn w:val="Normal"/>
    <w:qFormat/>
    <w:pPr>
      <w:jc w:val="center"/>
    </w:pPr>
    <w:rPr>
      <w:b/>
      <w:bCs/>
      <w:color w:val="000000"/>
      <w:sz w:val="48"/>
      <w:szCs w:val="17"/>
    </w:rPr>
  </w:style>
  <w:style w:type="paragraph" w:styleId="BodyText">
    <w:name w:val="Body Text"/>
    <w:basedOn w:val="Normal"/>
    <w:semiHidden/>
    <w:pPr>
      <w:jc w:val="both"/>
    </w:pPr>
    <w:rPr>
      <w:rFonts w:ascii="Tahoma" w:hAnsi="Tahoma" w:cs="Tahoma"/>
      <w:lang w:val="en-US" w:eastAsia="en-US"/>
    </w:rPr>
  </w:style>
  <w:style w:type="paragraph" w:styleId="BodyText2">
    <w:name w:val="Body Text 2"/>
    <w:basedOn w:val="Normal"/>
    <w:semiHidden/>
    <w:pPr>
      <w:jc w:val="both"/>
    </w:pPr>
    <w:rPr>
      <w:rFonts w:ascii="Arial" w:hAnsi="Arial" w:cs="Arial"/>
      <w:color w:val="000000"/>
      <w:sz w:val="26"/>
      <w:szCs w:val="17"/>
    </w:rPr>
  </w:style>
  <w:style w:type="paragraph" w:styleId="BodyText3">
    <w:name w:val="Body Text 3"/>
    <w:basedOn w:val="Normal"/>
    <w:semiHidden/>
    <w:pPr>
      <w:jc w:val="both"/>
    </w:pPr>
    <w:rPr>
      <w:rFonts w:ascii="Arial" w:hAnsi="Arial" w:cs="Arial"/>
      <w:color w:val="000000"/>
      <w:szCs w:val="17"/>
    </w:rPr>
  </w:style>
  <w:style w:type="paragraph" w:styleId="PlainText">
    <w:name w:val="Plain Text"/>
    <w:basedOn w:val="Normal"/>
    <w:semiHidden/>
    <w:rPr>
      <w:rFonts w:ascii="Courier" w:hAnsi="Courie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Tahoma" w:hAnsi="Tahoma" w:cs="Tahoma"/>
      <w:b/>
      <w:bCs/>
      <w:sz w:val="22"/>
      <w:lang w:val="en-US" w:eastAsia="en-US"/>
    </w:rPr>
  </w:style>
  <w:style w:type="paragraph" w:styleId="Heading3">
    <w:name w:val="heading 3"/>
    <w:basedOn w:val="Normal"/>
    <w:next w:val="Normal"/>
    <w:qFormat/>
    <w:pPr>
      <w:keepNext/>
      <w:jc w:val="both"/>
      <w:outlineLvl w:val="2"/>
    </w:pPr>
    <w:rPr>
      <w:rFonts w:ascii="Tahoma" w:hAnsi="Tahoma" w:cs="Tahoma"/>
      <w:b/>
      <w:bCs/>
      <w:i/>
      <w:iCs/>
      <w:lang w:val="en-US" w:eastAsia="en-US"/>
    </w:rPr>
  </w:style>
  <w:style w:type="paragraph" w:styleId="Heading5">
    <w:name w:val="heading 5"/>
    <w:basedOn w:val="Normal"/>
    <w:next w:val="Normal"/>
    <w:qFormat/>
    <w:pPr>
      <w:keepNext/>
      <w:jc w:val="center"/>
      <w:outlineLvl w:val="4"/>
    </w:pPr>
    <w:rPr>
      <w:rFonts w:ascii="Tahoma" w:hAnsi="Tahoma" w:cs="Tahoma"/>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slikkirmizi111">
    <w:name w:val="baslikkirmizi111"/>
    <w:basedOn w:val="DefaultParagraphFont"/>
    <w:rPr>
      <w:rFonts w:ascii="Arial" w:hAnsi="Arial" w:cs="Arial" w:hint="default"/>
      <w:b/>
      <w:bCs/>
      <w:color w:val="FF0000"/>
      <w:sz w:val="19"/>
      <w:szCs w:val="19"/>
    </w:rPr>
  </w:style>
  <w:style w:type="character" w:styleId="Strong">
    <w:name w:val="Strong"/>
    <w:basedOn w:val="DefaultParagraphFont"/>
    <w:qFormat/>
    <w:rPr>
      <w:b/>
      <w:bCs/>
    </w:rPr>
  </w:style>
  <w:style w:type="paragraph" w:styleId="Title">
    <w:name w:val="Title"/>
    <w:basedOn w:val="Normal"/>
    <w:qFormat/>
    <w:pPr>
      <w:jc w:val="center"/>
    </w:pPr>
    <w:rPr>
      <w:b/>
      <w:bCs/>
      <w:color w:val="000000"/>
      <w:sz w:val="48"/>
      <w:szCs w:val="17"/>
    </w:rPr>
  </w:style>
  <w:style w:type="paragraph" w:styleId="BodyText">
    <w:name w:val="Body Text"/>
    <w:basedOn w:val="Normal"/>
    <w:semiHidden/>
    <w:pPr>
      <w:jc w:val="both"/>
    </w:pPr>
    <w:rPr>
      <w:rFonts w:ascii="Tahoma" w:hAnsi="Tahoma" w:cs="Tahoma"/>
      <w:lang w:val="en-US" w:eastAsia="en-US"/>
    </w:rPr>
  </w:style>
  <w:style w:type="paragraph" w:styleId="BodyText2">
    <w:name w:val="Body Text 2"/>
    <w:basedOn w:val="Normal"/>
    <w:semiHidden/>
    <w:pPr>
      <w:jc w:val="both"/>
    </w:pPr>
    <w:rPr>
      <w:rFonts w:ascii="Arial" w:hAnsi="Arial" w:cs="Arial"/>
      <w:color w:val="000000"/>
      <w:sz w:val="26"/>
      <w:szCs w:val="17"/>
    </w:rPr>
  </w:style>
  <w:style w:type="paragraph" w:styleId="BodyText3">
    <w:name w:val="Body Text 3"/>
    <w:basedOn w:val="Normal"/>
    <w:semiHidden/>
    <w:pPr>
      <w:jc w:val="both"/>
    </w:pPr>
    <w:rPr>
      <w:rFonts w:ascii="Arial" w:hAnsi="Arial" w:cs="Arial"/>
      <w:color w:val="000000"/>
      <w:szCs w:val="17"/>
    </w:rPr>
  </w:style>
  <w:style w:type="paragraph" w:styleId="PlainText">
    <w:name w:val="Plain Text"/>
    <w:basedOn w:val="Normal"/>
    <w:semiHidden/>
    <w:rPr>
      <w:rFonts w:ascii="Courier" w:hAnsi="Courie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344</Words>
  <Characters>1961</Characters>
  <Application>Microsoft Office Word</Application>
  <DocSecurity>4</DocSecurity>
  <Lines>16</Lines>
  <Paragraphs>4</Paragraphs>
  <ScaleCrop>false</ScaleCrop>
  <Company>BNP Paribas</Company>
  <LinksUpToDate>false</LinksUpToDate>
  <CharactersWithSpaces>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2016-11-28T07:01:00Z</dcterms:created>
  <dcterms:modified xsi:type="dcterms:W3CDTF">2016-11-28T07:01:00Z</dcterms:modified>
</cp:coreProperties>
</file>