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599" w:rsidRDefault="00612087">
      <w:pPr>
        <w:pStyle w:val="Heading1"/>
        <w:ind w:left="4956"/>
        <w:jc w:val="right"/>
        <w:rPr>
          <w:lang w:val="en-US"/>
        </w:rPr>
      </w:pPr>
      <w:bookmarkStart w:id="0" w:name="_GoBack"/>
      <w:bookmarkEnd w:id="0"/>
      <w:r>
        <w:rPr>
          <w:lang w:val="en-US"/>
        </w:rPr>
        <w:t>Monday, 28 November 2005</w:t>
      </w:r>
    </w:p>
    <w:p w:rsidR="00F45599" w:rsidRDefault="00F45599">
      <w:pPr>
        <w:jc w:val="right"/>
        <w:rPr>
          <w:lang w:val="en-US"/>
        </w:rPr>
      </w:pPr>
    </w:p>
    <w:p w:rsidR="00F45599" w:rsidRDefault="00F45599">
      <w:pPr>
        <w:rPr>
          <w:lang w:val="en-US"/>
        </w:rPr>
      </w:pPr>
    </w:p>
    <w:p w:rsidR="00F45599" w:rsidRDefault="00F45599">
      <w:pPr>
        <w:rPr>
          <w:lang w:val="en-US"/>
        </w:rPr>
      </w:pPr>
    </w:p>
    <w:p w:rsidR="00F45599" w:rsidRDefault="00612087">
      <w:pPr>
        <w:pStyle w:val="BodyText2"/>
        <w:rPr>
          <w:lang w:val="en-US"/>
        </w:rPr>
      </w:pPr>
      <w:r>
        <w:rPr>
          <w:lang w:val="en-US"/>
        </w:rPr>
        <w:t>TEB opens third Trade Center in Adana</w:t>
      </w:r>
    </w:p>
    <w:p w:rsidR="00F45599" w:rsidRDefault="00F45599">
      <w:pPr>
        <w:pStyle w:val="BodyText2"/>
        <w:rPr>
          <w:lang w:val="en-US"/>
        </w:rPr>
      </w:pPr>
    </w:p>
    <w:p w:rsidR="00F45599" w:rsidRDefault="00612087">
      <w:pPr>
        <w:pStyle w:val="BodyText3"/>
        <w:rPr>
          <w:b/>
          <w:bCs/>
          <w:lang w:val="en-US"/>
        </w:rPr>
      </w:pPr>
      <w:r>
        <w:rPr>
          <w:b/>
          <w:bCs/>
          <w:lang w:val="en-US"/>
        </w:rPr>
        <w:t xml:space="preserve">Stepping up to a more ambitious position after the merger with the BNP Paribas, TEB opened its third Trade Center office in Adana. The Trade Centers established in 80 points in 48 </w:t>
      </w:r>
      <w:r>
        <w:rPr>
          <w:b/>
          <w:bCs/>
          <w:lang w:val="en-US"/>
        </w:rPr>
        <w:t>countries throughout the world are now in Adana, Turkey subsequent to İstanbul and İzmir to offer consultancy in foreign trade financing and provide solutions specific to the needs of companies.</w:t>
      </w:r>
    </w:p>
    <w:p w:rsidR="00F45599" w:rsidRDefault="00F45599">
      <w:pPr>
        <w:pStyle w:val="BodyText3"/>
        <w:jc w:val="both"/>
        <w:rPr>
          <w:b/>
          <w:bCs/>
          <w:lang w:val="en-US"/>
        </w:rPr>
      </w:pPr>
    </w:p>
    <w:p w:rsidR="00F45599" w:rsidRDefault="00F45599">
      <w:pPr>
        <w:pStyle w:val="BodyText3"/>
        <w:jc w:val="both"/>
        <w:rPr>
          <w:b/>
          <w:bCs/>
          <w:lang w:val="en-US"/>
        </w:rPr>
      </w:pPr>
    </w:p>
    <w:p w:rsidR="00F45599" w:rsidRDefault="00612087">
      <w:pPr>
        <w:jc w:val="both"/>
        <w:rPr>
          <w:rFonts w:ascii="Arial" w:hAnsi="Arial" w:cs="Arial"/>
          <w:lang w:val="en-US"/>
        </w:rPr>
      </w:pPr>
      <w:r>
        <w:rPr>
          <w:rFonts w:ascii="Arial" w:hAnsi="Arial" w:cs="Arial"/>
          <w:lang w:val="en-US"/>
        </w:rPr>
        <w:t>Having concluded partnership deal in February 2005 with the</w:t>
      </w:r>
      <w:r>
        <w:rPr>
          <w:rFonts w:ascii="Arial" w:hAnsi="Arial" w:cs="Arial"/>
          <w:lang w:val="en-US"/>
        </w:rPr>
        <w:t xml:space="preserve"> BNP Paribas, one of the largest banks in the Euro zone, the Türk Ekonomi Bank (TEB), one of Turkey’s most reputable banks, continues its ventures in the field of foreign trade. The third office of the Trade Centers, the first outcome of the TEB - BNP Pari</w:t>
      </w:r>
      <w:r>
        <w:rPr>
          <w:rFonts w:ascii="Arial" w:hAnsi="Arial" w:cs="Arial"/>
          <w:lang w:val="en-US"/>
        </w:rPr>
        <w:t>bas partnership, that will offer consultancy in foreign trade was opened in Adana.</w:t>
      </w:r>
    </w:p>
    <w:p w:rsidR="00F45599" w:rsidRDefault="00F45599">
      <w:pPr>
        <w:jc w:val="both"/>
        <w:rPr>
          <w:rFonts w:ascii="Arial" w:hAnsi="Arial" w:cs="Arial"/>
          <w:lang w:val="en-US"/>
        </w:rPr>
      </w:pPr>
    </w:p>
    <w:p w:rsidR="00F45599" w:rsidRDefault="00612087">
      <w:pPr>
        <w:jc w:val="both"/>
        <w:rPr>
          <w:rFonts w:ascii="Arial" w:hAnsi="Arial" w:cs="Arial"/>
          <w:sz w:val="22"/>
          <w:lang w:val="en-US"/>
        </w:rPr>
      </w:pPr>
      <w:r>
        <w:rPr>
          <w:rFonts w:ascii="Arial" w:hAnsi="Arial" w:cs="Arial"/>
          <w:lang w:val="en-US"/>
        </w:rPr>
        <w:t>The Trade Centers established in countries where the BNP Paribas has a global presence offer consultation services in the regulations and practices of the host countries to</w:t>
      </w:r>
      <w:r>
        <w:rPr>
          <w:rFonts w:ascii="Arial" w:hAnsi="Arial" w:cs="Arial"/>
          <w:lang w:val="en-US"/>
        </w:rPr>
        <w:t xml:space="preserve"> companies in search of consultancy and banking support in foreign trade, meeting also the global trade financing requirements of their clients with their expert staff dedicated to foreign trade matters.</w:t>
      </w:r>
    </w:p>
    <w:p w:rsidR="00F45599" w:rsidRDefault="00F45599">
      <w:pPr>
        <w:jc w:val="both"/>
        <w:rPr>
          <w:rFonts w:ascii="Arial" w:hAnsi="Arial" w:cs="Arial"/>
          <w:lang w:val="en-US"/>
        </w:rPr>
      </w:pPr>
    </w:p>
    <w:p w:rsidR="00F45599" w:rsidRDefault="00612087">
      <w:pPr>
        <w:pStyle w:val="Heading2"/>
        <w:rPr>
          <w:noProof/>
          <w:lang w:val="en-US"/>
        </w:rPr>
      </w:pPr>
      <w:r>
        <w:rPr>
          <w:noProof/>
          <w:lang w:val="en-US"/>
        </w:rPr>
        <w:t>A solution partner in foreign trade</w:t>
      </w:r>
    </w:p>
    <w:p w:rsidR="00F45599" w:rsidRDefault="00612087">
      <w:pPr>
        <w:spacing w:after="120"/>
        <w:jc w:val="both"/>
        <w:rPr>
          <w:rFonts w:ascii="Arial" w:hAnsi="Arial" w:cs="Arial"/>
          <w:noProof/>
          <w:lang w:val="en-US"/>
        </w:rPr>
      </w:pPr>
      <w:r>
        <w:rPr>
          <w:rFonts w:ascii="Arial" w:hAnsi="Arial" w:cs="Arial"/>
          <w:noProof/>
          <w:lang w:val="en-US"/>
        </w:rPr>
        <w:t>The Trade Cente</w:t>
      </w:r>
      <w:r>
        <w:rPr>
          <w:rFonts w:ascii="Arial" w:hAnsi="Arial" w:cs="Arial"/>
          <w:noProof/>
          <w:lang w:val="en-US"/>
        </w:rPr>
        <w:t>rs offering special foreign trade products and solutions specific to the needs of each individual company are a first in the Turkish banking sector. Turkey’s daily-growing effectiveness and volume in foreign trade and its vast potential in the field make T</w:t>
      </w:r>
      <w:r>
        <w:rPr>
          <w:rFonts w:ascii="Arial" w:hAnsi="Arial" w:cs="Arial"/>
          <w:noProof/>
          <w:lang w:val="en-US"/>
        </w:rPr>
        <w:t>rade Centers all the more important.</w:t>
      </w:r>
    </w:p>
    <w:p w:rsidR="00F45599" w:rsidRDefault="00612087">
      <w:pPr>
        <w:pStyle w:val="contenttext"/>
        <w:spacing w:before="0" w:beforeAutospacing="0" w:after="120" w:afterAutospacing="0"/>
        <w:jc w:val="both"/>
        <w:rPr>
          <w:color w:val="auto"/>
          <w:sz w:val="24"/>
        </w:rPr>
      </w:pPr>
      <w:r>
        <w:rPr>
          <w:color w:val="auto"/>
          <w:sz w:val="24"/>
        </w:rPr>
        <w:t>The Trade Centers offer companies the following services:</w:t>
      </w:r>
    </w:p>
    <w:p w:rsidR="00F45599" w:rsidRDefault="00612087">
      <w:pPr>
        <w:pStyle w:val="contenttext"/>
        <w:numPr>
          <w:ilvl w:val="0"/>
          <w:numId w:val="5"/>
        </w:numPr>
        <w:spacing w:before="0" w:beforeAutospacing="0" w:after="0" w:afterAutospacing="0"/>
        <w:jc w:val="both"/>
        <w:rPr>
          <w:color w:val="auto"/>
          <w:sz w:val="24"/>
        </w:rPr>
      </w:pPr>
      <w:r>
        <w:rPr>
          <w:color w:val="auto"/>
          <w:sz w:val="24"/>
        </w:rPr>
        <w:t>Support and consultancy needed in foreign trade financing.</w:t>
      </w:r>
    </w:p>
    <w:p w:rsidR="00F45599" w:rsidRDefault="00612087">
      <w:pPr>
        <w:pStyle w:val="contenttext"/>
        <w:numPr>
          <w:ilvl w:val="0"/>
          <w:numId w:val="5"/>
        </w:numPr>
        <w:spacing w:before="0" w:beforeAutospacing="0" w:after="0" w:afterAutospacing="0"/>
        <w:jc w:val="both"/>
        <w:rPr>
          <w:color w:val="auto"/>
          <w:sz w:val="24"/>
        </w:rPr>
      </w:pPr>
      <w:r>
        <w:rPr>
          <w:color w:val="auto"/>
          <w:sz w:val="24"/>
        </w:rPr>
        <w:t>Top quality in the execution of foreign trade transactions.</w:t>
      </w:r>
    </w:p>
    <w:p w:rsidR="00F45599" w:rsidRDefault="00612087">
      <w:pPr>
        <w:numPr>
          <w:ilvl w:val="0"/>
          <w:numId w:val="4"/>
        </w:numPr>
        <w:jc w:val="both"/>
        <w:rPr>
          <w:rFonts w:ascii="Arial" w:hAnsi="Arial" w:cs="Arial"/>
          <w:szCs w:val="20"/>
          <w:lang w:val="en-US"/>
        </w:rPr>
      </w:pPr>
      <w:r>
        <w:rPr>
          <w:rFonts w:ascii="Arial" w:hAnsi="Arial" w:cs="Arial"/>
          <w:szCs w:val="20"/>
          <w:lang w:val="en-US"/>
        </w:rPr>
        <w:t>A global outlook thanks to direct communic</w:t>
      </w:r>
      <w:r>
        <w:rPr>
          <w:rFonts w:ascii="Arial" w:hAnsi="Arial" w:cs="Arial"/>
          <w:szCs w:val="20"/>
          <w:lang w:val="en-US"/>
        </w:rPr>
        <w:t>ation between the Trade Centers in Turkey and across the world.</w:t>
      </w:r>
    </w:p>
    <w:p w:rsidR="00F45599" w:rsidRDefault="00612087">
      <w:pPr>
        <w:numPr>
          <w:ilvl w:val="0"/>
          <w:numId w:val="4"/>
        </w:numPr>
        <w:jc w:val="both"/>
        <w:rPr>
          <w:rFonts w:ascii="Arial" w:hAnsi="Arial" w:cs="Arial"/>
          <w:szCs w:val="20"/>
          <w:lang w:val="en-US"/>
        </w:rPr>
      </w:pPr>
      <w:r>
        <w:rPr>
          <w:rFonts w:ascii="Arial" w:hAnsi="Arial" w:cs="Arial"/>
          <w:szCs w:val="20"/>
          <w:lang w:val="en-US"/>
        </w:rPr>
        <w:t>Solutions specific to companies in the complex transactions of foreign trade financing.</w:t>
      </w:r>
    </w:p>
    <w:p w:rsidR="00F45599" w:rsidRDefault="00612087">
      <w:pPr>
        <w:numPr>
          <w:ilvl w:val="0"/>
          <w:numId w:val="4"/>
        </w:numPr>
        <w:jc w:val="both"/>
        <w:rPr>
          <w:rFonts w:ascii="Arial" w:hAnsi="Arial" w:cs="Arial"/>
          <w:szCs w:val="20"/>
          <w:lang w:val="en-US"/>
        </w:rPr>
      </w:pPr>
      <w:r>
        <w:rPr>
          <w:rFonts w:ascii="Arial" w:hAnsi="Arial" w:cs="Arial"/>
          <w:szCs w:val="20"/>
          <w:lang w:val="en-US"/>
        </w:rPr>
        <w:t>Visits to be paid in person by the foreign trade finance specialists of the Trade Centers.</w:t>
      </w:r>
    </w:p>
    <w:p w:rsidR="00F45599" w:rsidRDefault="00612087">
      <w:pPr>
        <w:numPr>
          <w:ilvl w:val="0"/>
          <w:numId w:val="4"/>
        </w:numPr>
        <w:jc w:val="both"/>
        <w:rPr>
          <w:rFonts w:ascii="Arial" w:hAnsi="Arial" w:cs="Arial"/>
          <w:szCs w:val="20"/>
          <w:lang w:val="en-US"/>
        </w:rPr>
      </w:pPr>
      <w:r>
        <w:rPr>
          <w:rFonts w:ascii="Arial" w:hAnsi="Arial" w:cs="Arial"/>
          <w:szCs w:val="20"/>
          <w:lang w:val="en-US"/>
        </w:rPr>
        <w:t xml:space="preserve">Convenience </w:t>
      </w:r>
      <w:r>
        <w:rPr>
          <w:rFonts w:ascii="Arial" w:hAnsi="Arial" w:cs="Arial"/>
          <w:szCs w:val="20"/>
          <w:lang w:val="en-US"/>
        </w:rPr>
        <w:t>of communicating directly with specialists.</w:t>
      </w:r>
    </w:p>
    <w:p w:rsidR="00F45599" w:rsidRDefault="00612087">
      <w:pPr>
        <w:numPr>
          <w:ilvl w:val="0"/>
          <w:numId w:val="4"/>
        </w:numPr>
        <w:jc w:val="both"/>
        <w:rPr>
          <w:lang w:val="en-US"/>
        </w:rPr>
      </w:pPr>
      <w:r>
        <w:rPr>
          <w:rFonts w:ascii="Arial" w:hAnsi="Arial" w:cs="Arial"/>
          <w:lang w:val="en-US"/>
        </w:rPr>
        <w:t xml:space="preserve">Utilization of the most advanced technological products in foreign trade financing. </w:t>
      </w:r>
    </w:p>
    <w:p w:rsidR="00F45599" w:rsidRDefault="00F45599">
      <w:pPr>
        <w:jc w:val="both"/>
        <w:rPr>
          <w:rFonts w:ascii="Arial" w:hAnsi="Arial" w:cs="Arial"/>
          <w:noProof/>
          <w:lang w:val="en-US"/>
        </w:rPr>
      </w:pPr>
    </w:p>
    <w:p w:rsidR="00F45599" w:rsidRDefault="00612087">
      <w:pPr>
        <w:jc w:val="both"/>
        <w:rPr>
          <w:rFonts w:ascii="Arial" w:hAnsi="Arial" w:cs="Arial"/>
          <w:noProof/>
          <w:lang w:val="en-US"/>
        </w:rPr>
      </w:pPr>
      <w:r>
        <w:rPr>
          <w:rFonts w:ascii="Arial" w:hAnsi="Arial" w:cs="Arial"/>
          <w:noProof/>
          <w:lang w:val="en-US"/>
        </w:rPr>
        <w:lastRenderedPageBreak/>
        <w:t>The expertise of the Trade Centers is available to all companies wishing to receive support from an organization specialized i</w:t>
      </w:r>
      <w:r>
        <w:rPr>
          <w:rFonts w:ascii="Arial" w:hAnsi="Arial" w:cs="Arial"/>
          <w:noProof/>
          <w:lang w:val="en-US"/>
        </w:rPr>
        <w:t xml:space="preserve">n foreign trade. </w:t>
      </w:r>
    </w:p>
    <w:p w:rsidR="00F45599" w:rsidRDefault="00F45599">
      <w:pPr>
        <w:jc w:val="both"/>
        <w:rPr>
          <w:rFonts w:ascii="Arial" w:hAnsi="Arial" w:cs="Arial"/>
          <w:noProof/>
          <w:lang w:val="en-US"/>
        </w:rPr>
      </w:pPr>
    </w:p>
    <w:p w:rsidR="00F45599" w:rsidRDefault="00612087">
      <w:pPr>
        <w:jc w:val="both"/>
        <w:rPr>
          <w:rFonts w:ascii="Arial" w:hAnsi="Arial" w:cs="Arial"/>
          <w:noProof/>
          <w:lang w:val="en-US"/>
        </w:rPr>
      </w:pPr>
      <w:r>
        <w:rPr>
          <w:rFonts w:ascii="Arial" w:hAnsi="Arial" w:cs="Arial"/>
          <w:lang w:val="en-US"/>
        </w:rPr>
        <w:t>After the first two Trade Centers in İstanbul and İzmir, the third was opened in Adana on 28 November 2005. More are planned to be opened throughout Turkey in the near future.</w:t>
      </w:r>
      <w:r>
        <w:rPr>
          <w:rFonts w:ascii="Arial" w:hAnsi="Arial" w:cs="Arial"/>
          <w:noProof/>
          <w:lang w:val="en-US"/>
        </w:rPr>
        <w:t xml:space="preserve"> </w:t>
      </w:r>
    </w:p>
    <w:p w:rsidR="00F45599" w:rsidRDefault="00F45599">
      <w:pPr>
        <w:pStyle w:val="BodyText"/>
        <w:rPr>
          <w:b/>
          <w:bCs/>
          <w:color w:val="auto"/>
          <w:sz w:val="22"/>
          <w:lang w:val="en-US"/>
        </w:rPr>
      </w:pPr>
    </w:p>
    <w:sectPr w:rsidR="00F45599">
      <w:pgSz w:w="11906" w:h="16838"/>
      <w:pgMar w:top="1985" w:right="926" w:bottom="1418" w:left="90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A1AA6"/>
    <w:multiLevelType w:val="hybridMultilevel"/>
    <w:tmpl w:val="F3186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CF54C2"/>
    <w:multiLevelType w:val="hybridMultilevel"/>
    <w:tmpl w:val="154A12EC"/>
    <w:lvl w:ilvl="0" w:tplc="BF780856">
      <w:numFmt w:val="bullet"/>
      <w:lvlText w:val="-"/>
      <w:lvlJc w:val="left"/>
      <w:pPr>
        <w:tabs>
          <w:tab w:val="num" w:pos="720"/>
        </w:tabs>
        <w:ind w:left="720" w:hanging="360"/>
      </w:pPr>
      <w:rPr>
        <w:rFonts w:ascii="Times New Roman" w:eastAsia="Times New Roman" w:hAnsi="Times New Roman" w:cs="Times New Roman" w:hint="default"/>
      </w:rPr>
    </w:lvl>
    <w:lvl w:ilvl="1" w:tplc="C19E58A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8A1CFD"/>
    <w:multiLevelType w:val="hybridMultilevel"/>
    <w:tmpl w:val="B1D006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3F26142"/>
    <w:multiLevelType w:val="hybridMultilevel"/>
    <w:tmpl w:val="F3F0F08E"/>
    <w:lvl w:ilvl="0" w:tplc="14149662">
      <w:start w:val="1"/>
      <w:numFmt w:val="bullet"/>
      <w:lvlText w:val=""/>
      <w:lvlJc w:val="left"/>
      <w:pPr>
        <w:tabs>
          <w:tab w:val="num" w:pos="720"/>
        </w:tabs>
        <w:ind w:left="720" w:hanging="360"/>
      </w:pPr>
      <w:rPr>
        <w:rFonts w:ascii="Symbol" w:hAnsi="Symbol" w:hint="default"/>
        <w:sz w:val="20"/>
      </w:rPr>
    </w:lvl>
    <w:lvl w:ilvl="1" w:tplc="C8A2AAE0" w:tentative="1">
      <w:start w:val="1"/>
      <w:numFmt w:val="bullet"/>
      <w:lvlText w:val="o"/>
      <w:lvlJc w:val="left"/>
      <w:pPr>
        <w:tabs>
          <w:tab w:val="num" w:pos="1440"/>
        </w:tabs>
        <w:ind w:left="1440" w:hanging="360"/>
      </w:pPr>
      <w:rPr>
        <w:rFonts w:ascii="Courier New" w:hAnsi="Courier New" w:hint="default"/>
        <w:sz w:val="20"/>
      </w:rPr>
    </w:lvl>
    <w:lvl w:ilvl="2" w:tplc="CA0A9636" w:tentative="1">
      <w:start w:val="1"/>
      <w:numFmt w:val="bullet"/>
      <w:lvlText w:val=""/>
      <w:lvlJc w:val="left"/>
      <w:pPr>
        <w:tabs>
          <w:tab w:val="num" w:pos="2160"/>
        </w:tabs>
        <w:ind w:left="2160" w:hanging="360"/>
      </w:pPr>
      <w:rPr>
        <w:rFonts w:ascii="Wingdings" w:hAnsi="Wingdings" w:hint="default"/>
        <w:sz w:val="20"/>
      </w:rPr>
    </w:lvl>
    <w:lvl w:ilvl="3" w:tplc="2CF29F3E" w:tentative="1">
      <w:start w:val="1"/>
      <w:numFmt w:val="bullet"/>
      <w:lvlText w:val=""/>
      <w:lvlJc w:val="left"/>
      <w:pPr>
        <w:tabs>
          <w:tab w:val="num" w:pos="2880"/>
        </w:tabs>
        <w:ind w:left="2880" w:hanging="360"/>
      </w:pPr>
      <w:rPr>
        <w:rFonts w:ascii="Wingdings" w:hAnsi="Wingdings" w:hint="default"/>
        <w:sz w:val="20"/>
      </w:rPr>
    </w:lvl>
    <w:lvl w:ilvl="4" w:tplc="BA6E8644" w:tentative="1">
      <w:start w:val="1"/>
      <w:numFmt w:val="bullet"/>
      <w:lvlText w:val=""/>
      <w:lvlJc w:val="left"/>
      <w:pPr>
        <w:tabs>
          <w:tab w:val="num" w:pos="3600"/>
        </w:tabs>
        <w:ind w:left="3600" w:hanging="360"/>
      </w:pPr>
      <w:rPr>
        <w:rFonts w:ascii="Wingdings" w:hAnsi="Wingdings" w:hint="default"/>
        <w:sz w:val="20"/>
      </w:rPr>
    </w:lvl>
    <w:lvl w:ilvl="5" w:tplc="3E103CCC" w:tentative="1">
      <w:start w:val="1"/>
      <w:numFmt w:val="bullet"/>
      <w:lvlText w:val=""/>
      <w:lvlJc w:val="left"/>
      <w:pPr>
        <w:tabs>
          <w:tab w:val="num" w:pos="4320"/>
        </w:tabs>
        <w:ind w:left="4320" w:hanging="360"/>
      </w:pPr>
      <w:rPr>
        <w:rFonts w:ascii="Wingdings" w:hAnsi="Wingdings" w:hint="default"/>
        <w:sz w:val="20"/>
      </w:rPr>
    </w:lvl>
    <w:lvl w:ilvl="6" w:tplc="B308D166" w:tentative="1">
      <w:start w:val="1"/>
      <w:numFmt w:val="bullet"/>
      <w:lvlText w:val=""/>
      <w:lvlJc w:val="left"/>
      <w:pPr>
        <w:tabs>
          <w:tab w:val="num" w:pos="5040"/>
        </w:tabs>
        <w:ind w:left="5040" w:hanging="360"/>
      </w:pPr>
      <w:rPr>
        <w:rFonts w:ascii="Wingdings" w:hAnsi="Wingdings" w:hint="default"/>
        <w:sz w:val="20"/>
      </w:rPr>
    </w:lvl>
    <w:lvl w:ilvl="7" w:tplc="DEE0BC12" w:tentative="1">
      <w:start w:val="1"/>
      <w:numFmt w:val="bullet"/>
      <w:lvlText w:val=""/>
      <w:lvlJc w:val="left"/>
      <w:pPr>
        <w:tabs>
          <w:tab w:val="num" w:pos="5760"/>
        </w:tabs>
        <w:ind w:left="5760" w:hanging="360"/>
      </w:pPr>
      <w:rPr>
        <w:rFonts w:ascii="Wingdings" w:hAnsi="Wingdings" w:hint="default"/>
        <w:sz w:val="20"/>
      </w:rPr>
    </w:lvl>
    <w:lvl w:ilvl="8" w:tplc="910CFDD2" w:tentative="1">
      <w:start w:val="1"/>
      <w:numFmt w:val="bullet"/>
      <w:lvlText w:val=""/>
      <w:lvlJc w:val="left"/>
      <w:pPr>
        <w:tabs>
          <w:tab w:val="num" w:pos="6480"/>
        </w:tabs>
        <w:ind w:left="6480" w:hanging="360"/>
      </w:pPr>
      <w:rPr>
        <w:rFonts w:ascii="Wingdings" w:hAnsi="Wingdings" w:hint="default"/>
        <w:sz w:val="20"/>
      </w:rPr>
    </w:lvl>
  </w:abstractNum>
  <w:abstractNum w:abstractNumId="4">
    <w:nsid w:val="73195084"/>
    <w:multiLevelType w:val="hybridMultilevel"/>
    <w:tmpl w:val="18B07372"/>
    <w:lvl w:ilvl="0" w:tplc="041F000F">
      <w:start w:val="1"/>
      <w:numFmt w:val="decimal"/>
      <w:lvlText w:val="%1."/>
      <w:lvlJc w:val="left"/>
      <w:pPr>
        <w:tabs>
          <w:tab w:val="num" w:pos="720"/>
        </w:tabs>
        <w:ind w:left="720" w:hanging="360"/>
      </w:pPr>
      <w:rPr>
        <w:rFonts w:hint="default"/>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7EA4270F"/>
    <w:multiLevelType w:val="hybridMultilevel"/>
    <w:tmpl w:val="7696D5BE"/>
    <w:lvl w:ilvl="0" w:tplc="08D08E96">
      <w:start w:val="2"/>
      <w:numFmt w:val="decimal"/>
      <w:lvlText w:val="%1"/>
      <w:lvlJc w:val="left"/>
      <w:pPr>
        <w:tabs>
          <w:tab w:val="num" w:pos="5310"/>
        </w:tabs>
        <w:ind w:left="5310" w:hanging="495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D5D"/>
    <w:rsid w:val="00602D5D"/>
    <w:rsid w:val="00612087"/>
    <w:rsid w:val="00F455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sz w:val="28"/>
    </w:rPr>
  </w:style>
  <w:style w:type="paragraph" w:styleId="Heading2">
    <w:name w:val="heading 2"/>
    <w:basedOn w:val="Normal"/>
    <w:next w:val="Normal"/>
    <w:qFormat/>
    <w:pPr>
      <w:keepNext/>
      <w:jc w:val="both"/>
      <w:outlineLvl w:val="1"/>
    </w:pPr>
    <w:rPr>
      <w:rFonts w:ascii="Arial" w:hAnsi="Arial" w:cs="Arial"/>
      <w:b/>
      <w:bCs/>
    </w:rPr>
  </w:style>
  <w:style w:type="paragraph" w:styleId="Heading3">
    <w:name w:val="heading 3"/>
    <w:basedOn w:val="Normal"/>
    <w:next w:val="Normal"/>
    <w:qFormat/>
    <w:pPr>
      <w:keepNext/>
      <w:jc w:val="center"/>
      <w:outlineLvl w:val="2"/>
    </w:pPr>
    <w:rPr>
      <w:rFonts w:ascii="Arial" w:hAnsi="Arial" w:cs="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rFonts w:ascii="Verdana" w:hAnsi="Verdana" w:hint="default"/>
      <w:color w:val="000000"/>
      <w:sz w:val="15"/>
      <w:szCs w:val="15"/>
      <w:u w:val="single"/>
    </w:rPr>
  </w:style>
  <w:style w:type="paragraph" w:styleId="BodyText">
    <w:name w:val="Body Text"/>
    <w:basedOn w:val="Normal"/>
    <w:semiHidden/>
    <w:pPr>
      <w:jc w:val="both"/>
    </w:pPr>
    <w:rPr>
      <w:rFonts w:ascii="Arial" w:hAnsi="Arial" w:cs="Arial"/>
      <w:color w:val="000000"/>
      <w:szCs w:val="15"/>
    </w:rPr>
  </w:style>
  <w:style w:type="paragraph" w:styleId="BodyText2">
    <w:name w:val="Body Text 2"/>
    <w:basedOn w:val="Normal"/>
    <w:semiHidden/>
    <w:pPr>
      <w:jc w:val="center"/>
    </w:pPr>
    <w:rPr>
      <w:rFonts w:ascii="Arial" w:hAnsi="Arial" w:cs="Arial"/>
      <w:b/>
      <w:bCs/>
      <w:sz w:val="56"/>
    </w:rPr>
  </w:style>
  <w:style w:type="paragraph" w:styleId="BodyText3">
    <w:name w:val="Body Text 3"/>
    <w:basedOn w:val="Normal"/>
    <w:semiHidden/>
    <w:pPr>
      <w:jc w:val="center"/>
    </w:pPr>
    <w:rPr>
      <w:rFonts w:ascii="Arial" w:hAnsi="Arial" w:cs="Arial"/>
      <w:sz w:val="28"/>
    </w:rPr>
  </w:style>
  <w:style w:type="paragraph" w:customStyle="1" w:styleId="contenttext">
    <w:name w:val="content_text"/>
    <w:basedOn w:val="Normal"/>
    <w:pPr>
      <w:spacing w:before="100" w:beforeAutospacing="1" w:after="100" w:afterAutospacing="1"/>
    </w:pPr>
    <w:rPr>
      <w:rFonts w:ascii="Arial" w:eastAsia="Arial Unicode MS" w:hAnsi="Arial" w:cs="Arial"/>
      <w:color w:val="333333"/>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sz w:val="28"/>
    </w:rPr>
  </w:style>
  <w:style w:type="paragraph" w:styleId="Heading2">
    <w:name w:val="heading 2"/>
    <w:basedOn w:val="Normal"/>
    <w:next w:val="Normal"/>
    <w:qFormat/>
    <w:pPr>
      <w:keepNext/>
      <w:jc w:val="both"/>
      <w:outlineLvl w:val="1"/>
    </w:pPr>
    <w:rPr>
      <w:rFonts w:ascii="Arial" w:hAnsi="Arial" w:cs="Arial"/>
      <w:b/>
      <w:bCs/>
    </w:rPr>
  </w:style>
  <w:style w:type="paragraph" w:styleId="Heading3">
    <w:name w:val="heading 3"/>
    <w:basedOn w:val="Normal"/>
    <w:next w:val="Normal"/>
    <w:qFormat/>
    <w:pPr>
      <w:keepNext/>
      <w:jc w:val="center"/>
      <w:outlineLvl w:val="2"/>
    </w:pPr>
    <w:rPr>
      <w:rFonts w:ascii="Arial" w:hAnsi="Arial" w:cs="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rFonts w:ascii="Verdana" w:hAnsi="Verdana" w:hint="default"/>
      <w:color w:val="000000"/>
      <w:sz w:val="15"/>
      <w:szCs w:val="15"/>
      <w:u w:val="single"/>
    </w:rPr>
  </w:style>
  <w:style w:type="paragraph" w:styleId="BodyText">
    <w:name w:val="Body Text"/>
    <w:basedOn w:val="Normal"/>
    <w:semiHidden/>
    <w:pPr>
      <w:jc w:val="both"/>
    </w:pPr>
    <w:rPr>
      <w:rFonts w:ascii="Arial" w:hAnsi="Arial" w:cs="Arial"/>
      <w:color w:val="000000"/>
      <w:szCs w:val="15"/>
    </w:rPr>
  </w:style>
  <w:style w:type="paragraph" w:styleId="BodyText2">
    <w:name w:val="Body Text 2"/>
    <w:basedOn w:val="Normal"/>
    <w:semiHidden/>
    <w:pPr>
      <w:jc w:val="center"/>
    </w:pPr>
    <w:rPr>
      <w:rFonts w:ascii="Arial" w:hAnsi="Arial" w:cs="Arial"/>
      <w:b/>
      <w:bCs/>
      <w:sz w:val="56"/>
    </w:rPr>
  </w:style>
  <w:style w:type="paragraph" w:styleId="BodyText3">
    <w:name w:val="Body Text 3"/>
    <w:basedOn w:val="Normal"/>
    <w:semiHidden/>
    <w:pPr>
      <w:jc w:val="center"/>
    </w:pPr>
    <w:rPr>
      <w:rFonts w:ascii="Arial" w:hAnsi="Arial" w:cs="Arial"/>
      <w:sz w:val="28"/>
    </w:rPr>
  </w:style>
  <w:style w:type="paragraph" w:customStyle="1" w:styleId="contenttext">
    <w:name w:val="content_text"/>
    <w:basedOn w:val="Normal"/>
    <w:pPr>
      <w:spacing w:before="100" w:beforeAutospacing="1" w:after="100" w:afterAutospacing="1"/>
    </w:pPr>
    <w:rPr>
      <w:rFonts w:ascii="Arial" w:eastAsia="Arial Unicode MS" w:hAnsi="Arial" w:cs="Arial"/>
      <w:color w:val="333333"/>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371</Words>
  <Characters>2120</Characters>
  <Application>Microsoft Office Word</Application>
  <DocSecurity>4</DocSecurity>
  <Lines>17</Lines>
  <Paragraphs>4</Paragraphs>
  <ScaleCrop>false</ScaleCrop>
  <Company>BNP Paribas</Company>
  <LinksUpToDate>false</LinksUpToDate>
  <CharactersWithSpaces>2487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