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33E2" w:rsidRDefault="00681424">
      <w:pPr>
        <w:pStyle w:val="NormalWeb"/>
        <w:jc w:val="center"/>
        <w:rPr>
          <w:rFonts w:ascii="Arial" w:hAnsi="Arial" w:cs="Arial"/>
          <w:sz w:val="28"/>
          <w:lang w:val="en-US"/>
        </w:rPr>
      </w:pPr>
      <w:bookmarkStart w:id="0" w:name="_GoBack"/>
      <w:bookmarkEnd w:id="0"/>
      <w:r>
        <w:rPr>
          <w:rFonts w:ascii="Arial" w:hAnsi="Arial" w:cs="Arial"/>
          <w:noProof/>
          <w:sz w:val="28"/>
        </w:rPr>
        <w:drawing>
          <wp:inline distT="0" distB="0" distL="0" distR="0">
            <wp:extent cx="1165860" cy="542925"/>
            <wp:effectExtent l="0" t="0" r="0" b="9525"/>
            <wp:docPr id="1" name="Picture 1" descr="..\imajlar\branding\teb-yenilogo.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jlar\branding\teb-yenilogo.jpg"/>
                    <pic:cNvPicPr>
                      <a:picLocks noChangeAspect="1" noChangeArrowheads="1"/>
                    </pic:cNvPicPr>
                  </pic:nvPicPr>
                  <pic:blipFill>
                    <a:blip r:embed="rId5" cstate="print">
                      <a:extLst>
                        <a:ext uri="{28A0092B-C50C-407E-A947-70E740481C1C}">
                          <a14:useLocalDpi xmlns:a14="http://schemas.microsoft.com/office/drawing/2010/main" val="0"/>
                        </a:ext>
                      </a:extLst>
                    </a:blip>
                    <a:srcRect/>
                    <a:stretch>
                      <a:fillRect/>
                    </a:stretch>
                  </pic:blipFill>
                  <pic:spPr bwMode="auto">
                    <a:xfrm>
                      <a:off x="0" y="0"/>
                      <a:ext cx="1165860" cy="542925"/>
                    </a:xfrm>
                    <a:prstGeom prst="rect">
                      <a:avLst/>
                    </a:prstGeom>
                    <a:noFill/>
                    <a:ln>
                      <a:noFill/>
                    </a:ln>
                  </pic:spPr>
                </pic:pic>
              </a:graphicData>
            </a:graphic>
          </wp:inline>
        </w:drawing>
      </w:r>
    </w:p>
    <w:p w:rsidR="001933E2" w:rsidRDefault="001933E2">
      <w:pPr>
        <w:pStyle w:val="NormalWeb"/>
        <w:jc w:val="center"/>
        <w:rPr>
          <w:rFonts w:ascii="Arial" w:hAnsi="Arial" w:cs="Arial"/>
          <w:sz w:val="28"/>
          <w:lang w:val="en-US"/>
        </w:rPr>
      </w:pPr>
    </w:p>
    <w:p w:rsidR="001933E2" w:rsidRDefault="00681424">
      <w:pPr>
        <w:pStyle w:val="Heading1"/>
        <w:rPr>
          <w:rFonts w:ascii="Arial" w:hAnsi="Arial" w:cs="Arial"/>
          <w:sz w:val="52"/>
          <w:lang w:val="en-US"/>
        </w:rPr>
      </w:pPr>
      <w:r>
        <w:rPr>
          <w:rFonts w:ascii="Arial" w:hAnsi="Arial" w:cs="Arial"/>
          <w:sz w:val="52"/>
          <w:lang w:val="en-US"/>
        </w:rPr>
        <w:t>TEB’s new bid in housing loans drops interest rates to 1.5 percent</w:t>
      </w:r>
    </w:p>
    <w:p w:rsidR="001933E2" w:rsidRDefault="001933E2">
      <w:pPr>
        <w:pStyle w:val="NormalWeb"/>
        <w:spacing w:before="0" w:beforeAutospacing="0" w:after="0" w:afterAutospacing="0"/>
        <w:rPr>
          <w:rFonts w:ascii="Arial" w:eastAsia="Times New Roman" w:hAnsi="Arial" w:cs="Arial"/>
          <w:color w:val="000000"/>
          <w:lang w:val="en-US" w:eastAsia="en-US"/>
        </w:rPr>
      </w:pPr>
    </w:p>
    <w:p w:rsidR="001933E2" w:rsidRDefault="001933E2">
      <w:pPr>
        <w:jc w:val="center"/>
        <w:rPr>
          <w:rFonts w:ascii="Arial" w:hAnsi="Arial" w:cs="Arial"/>
          <w:color w:val="000000"/>
          <w:sz w:val="28"/>
        </w:rPr>
      </w:pPr>
    </w:p>
    <w:p w:rsidR="001933E2" w:rsidRDefault="00681424">
      <w:pPr>
        <w:pStyle w:val="NormalWeb"/>
        <w:spacing w:before="0" w:beforeAutospacing="0" w:after="0" w:afterAutospacing="0"/>
        <w:jc w:val="center"/>
        <w:rPr>
          <w:rFonts w:ascii="Arial" w:hAnsi="Arial" w:cs="Arial"/>
          <w:color w:val="000000"/>
          <w:sz w:val="28"/>
          <w:szCs w:val="20"/>
          <w:lang w:val="en-US"/>
        </w:rPr>
      </w:pPr>
      <w:r>
        <w:rPr>
          <w:rFonts w:ascii="Arial" w:hAnsi="Arial" w:cs="Arial"/>
          <w:color w:val="000000"/>
          <w:sz w:val="28"/>
          <w:szCs w:val="20"/>
          <w:lang w:val="en-US"/>
        </w:rPr>
        <w:t xml:space="preserve">The Türk Ekonomi Bank left the competition behind in the race to lower interest rates on housing loans. TEB dropped the interest rate on 10-year loans from 1.19 percent to 1.15. </w:t>
      </w:r>
      <w:r>
        <w:rPr>
          <w:rFonts w:ascii="Arial" w:hAnsi="Arial" w:cs="Arial"/>
          <w:color w:val="000000"/>
          <w:sz w:val="28"/>
          <w:szCs w:val="20"/>
          <w:lang w:val="en-US"/>
        </w:rPr>
        <w:t>Offering compelling price options to everyone who wished to become a homeowner, TEB now boasts the lowest interest rates in the sector.</w:t>
      </w:r>
    </w:p>
    <w:p w:rsidR="001933E2" w:rsidRDefault="001933E2">
      <w:pPr>
        <w:pStyle w:val="NormalWeb"/>
        <w:spacing w:before="0" w:beforeAutospacing="0" w:after="0" w:afterAutospacing="0"/>
        <w:jc w:val="center"/>
        <w:rPr>
          <w:rFonts w:ascii="Arial" w:eastAsia="Times New Roman" w:hAnsi="Arial" w:cs="Arial"/>
          <w:color w:val="000000"/>
          <w:lang w:val="en-US" w:eastAsia="en-US"/>
        </w:rPr>
      </w:pPr>
    </w:p>
    <w:p w:rsidR="001933E2" w:rsidRDefault="001933E2">
      <w:pPr>
        <w:jc w:val="both"/>
        <w:rPr>
          <w:rFonts w:ascii="Arial" w:hAnsi="Arial" w:cs="Arial"/>
          <w:color w:val="000000"/>
          <w:sz w:val="28"/>
          <w:szCs w:val="18"/>
        </w:rPr>
      </w:pPr>
    </w:p>
    <w:p w:rsidR="001933E2" w:rsidRDefault="00681424">
      <w:pPr>
        <w:jc w:val="both"/>
        <w:rPr>
          <w:rFonts w:ascii="Arial" w:hAnsi="Arial" w:cs="Arial"/>
          <w:sz w:val="22"/>
        </w:rPr>
      </w:pPr>
      <w:r>
        <w:rPr>
          <w:rFonts w:ascii="Arial" w:hAnsi="Arial" w:cs="Arial"/>
          <w:sz w:val="22"/>
        </w:rPr>
        <w:t>The real estate market mobilized by Turkey’s revitalized economy drove the finance sector into a competition in the fa</w:t>
      </w:r>
      <w:r>
        <w:rPr>
          <w:rFonts w:ascii="Arial" w:hAnsi="Arial" w:cs="Arial"/>
          <w:sz w:val="22"/>
        </w:rPr>
        <w:t>st lane of interest rates. Having become partners early this year with the BNP Paribas, the seventh largest bank in the world and the largest in the euro zone, the Türk Ekonomi Bank (TEB) has become one of the key players in the competition.</w:t>
      </w:r>
    </w:p>
    <w:p w:rsidR="001933E2" w:rsidRDefault="001933E2">
      <w:pPr>
        <w:jc w:val="both"/>
        <w:rPr>
          <w:rFonts w:ascii="Arial" w:hAnsi="Arial" w:cs="Arial"/>
          <w:color w:val="000000"/>
          <w:szCs w:val="20"/>
        </w:rPr>
      </w:pPr>
    </w:p>
    <w:p w:rsidR="001933E2" w:rsidRDefault="00681424">
      <w:pPr>
        <w:jc w:val="both"/>
        <w:rPr>
          <w:rFonts w:ascii="Arial" w:hAnsi="Arial" w:cs="Arial"/>
          <w:color w:val="000000"/>
          <w:szCs w:val="20"/>
        </w:rPr>
      </w:pPr>
      <w:r>
        <w:rPr>
          <w:rFonts w:ascii="Arial" w:hAnsi="Arial" w:cs="Arial"/>
          <w:color w:val="000000"/>
          <w:szCs w:val="20"/>
        </w:rPr>
        <w:t>TEB took a le</w:t>
      </w:r>
      <w:r>
        <w:rPr>
          <w:rFonts w:ascii="Arial" w:hAnsi="Arial" w:cs="Arial"/>
          <w:color w:val="000000"/>
          <w:szCs w:val="20"/>
        </w:rPr>
        <w:t>ap ahead of the competition by dropping the interest rate on housing loans with terms from 36 to 120 months from a monthly 1.19 percent to 1.15. The interest rate on housing loans of 12 to 24 months was reduced from 1.27 percent per month to 1.25. After th</w:t>
      </w:r>
      <w:r>
        <w:rPr>
          <w:rFonts w:ascii="Arial" w:hAnsi="Arial" w:cs="Arial"/>
          <w:color w:val="000000"/>
          <w:szCs w:val="20"/>
        </w:rPr>
        <w:t>is new arrangement, TEB has the lowest interest rates of all banks in the sector.</w:t>
      </w:r>
    </w:p>
    <w:p w:rsidR="001933E2" w:rsidRDefault="001933E2">
      <w:pPr>
        <w:jc w:val="both"/>
        <w:rPr>
          <w:rFonts w:ascii="Arial" w:hAnsi="Arial" w:cs="Arial"/>
          <w:color w:val="000000"/>
          <w:szCs w:val="20"/>
        </w:rPr>
      </w:pPr>
    </w:p>
    <w:p w:rsidR="001933E2" w:rsidRDefault="00681424">
      <w:pPr>
        <w:pStyle w:val="Heading3"/>
        <w:rPr>
          <w:color w:val="000000"/>
          <w:sz w:val="22"/>
          <w:szCs w:val="18"/>
        </w:rPr>
      </w:pPr>
      <w:r>
        <w:t>“Our venture in retail banking will continue”</w:t>
      </w:r>
    </w:p>
    <w:p w:rsidR="001933E2" w:rsidRDefault="001933E2">
      <w:pPr>
        <w:jc w:val="both"/>
        <w:rPr>
          <w:rFonts w:ascii="Arial" w:hAnsi="Arial" w:cs="Arial"/>
          <w:color w:val="000000"/>
          <w:sz w:val="22"/>
          <w:szCs w:val="18"/>
        </w:rPr>
      </w:pPr>
    </w:p>
    <w:p w:rsidR="001933E2" w:rsidRDefault="00681424">
      <w:pPr>
        <w:jc w:val="both"/>
        <w:rPr>
          <w:rFonts w:ascii="Arial" w:hAnsi="Arial" w:cs="Arial"/>
          <w:color w:val="000000"/>
          <w:sz w:val="22"/>
          <w:szCs w:val="18"/>
        </w:rPr>
      </w:pPr>
      <w:r>
        <w:rPr>
          <w:rFonts w:ascii="Arial" w:hAnsi="Arial" w:cs="Arial"/>
          <w:sz w:val="22"/>
          <w:szCs w:val="18"/>
        </w:rPr>
        <w:t xml:space="preserve">Cemal Kişmir, TEB’s Deputy General Manager in charge of Retail Banking, said that TEB had initiated a sweeping effort in the </w:t>
      </w:r>
      <w:r>
        <w:rPr>
          <w:rFonts w:ascii="Arial" w:hAnsi="Arial" w:cs="Arial"/>
          <w:sz w:val="22"/>
          <w:szCs w:val="18"/>
        </w:rPr>
        <w:t xml:space="preserve">field of retail banking which they intended to keep up. </w:t>
      </w:r>
    </w:p>
    <w:p w:rsidR="001933E2" w:rsidRDefault="001933E2">
      <w:pPr>
        <w:jc w:val="both"/>
        <w:rPr>
          <w:rFonts w:ascii="Arial" w:hAnsi="Arial" w:cs="Arial"/>
          <w:color w:val="000000"/>
          <w:sz w:val="22"/>
          <w:szCs w:val="18"/>
        </w:rPr>
      </w:pPr>
    </w:p>
    <w:p w:rsidR="001933E2" w:rsidRDefault="00681424">
      <w:pPr>
        <w:jc w:val="both"/>
        <w:rPr>
          <w:rFonts w:ascii="Arial" w:hAnsi="Arial" w:cs="Arial"/>
          <w:sz w:val="22"/>
          <w:szCs w:val="18"/>
        </w:rPr>
      </w:pPr>
      <w:r>
        <w:rPr>
          <w:rFonts w:ascii="Arial" w:hAnsi="Arial" w:cs="Arial"/>
          <w:sz w:val="22"/>
          <w:szCs w:val="18"/>
        </w:rPr>
        <w:t>Drawing attention to the rapid rise in the use of home loans in pace with the growing demand for dwellings, Cemal Kişmir announced, “We did what we had to do in order to best meet the expectations o</w:t>
      </w:r>
      <w:r>
        <w:rPr>
          <w:rFonts w:ascii="Arial" w:hAnsi="Arial" w:cs="Arial"/>
          <w:sz w:val="22"/>
          <w:szCs w:val="18"/>
        </w:rPr>
        <w:t>f our customers and offer them more affordable home loans by dropping our interest rate for terms up to 120 months to 1.15 percent.”</w:t>
      </w:r>
    </w:p>
    <w:p w:rsidR="001933E2" w:rsidRDefault="001933E2">
      <w:pPr>
        <w:jc w:val="both"/>
        <w:rPr>
          <w:rFonts w:ascii="Arial" w:hAnsi="Arial" w:cs="Arial"/>
          <w:color w:val="000000"/>
          <w:sz w:val="22"/>
          <w:szCs w:val="18"/>
        </w:rPr>
      </w:pPr>
    </w:p>
    <w:p w:rsidR="001933E2" w:rsidRDefault="00681424">
      <w:pPr>
        <w:jc w:val="both"/>
        <w:rPr>
          <w:rFonts w:ascii="Arial" w:hAnsi="Arial" w:cs="Arial"/>
          <w:sz w:val="22"/>
          <w:szCs w:val="18"/>
        </w:rPr>
      </w:pPr>
      <w:r>
        <w:rPr>
          <w:rFonts w:ascii="Arial" w:hAnsi="Arial" w:cs="Arial"/>
          <w:sz w:val="22"/>
          <w:szCs w:val="18"/>
        </w:rPr>
        <w:t>Noting that TEB would carry on with its bold moves in retail banking on a regular basis in keeping with its corporate stru</w:t>
      </w:r>
      <w:r>
        <w:rPr>
          <w:rFonts w:ascii="Arial" w:hAnsi="Arial" w:cs="Arial"/>
          <w:sz w:val="22"/>
          <w:szCs w:val="18"/>
        </w:rPr>
        <w:t>cture, Kişmir said, “We aim to keep up our usual quality service and expand our share in the retail market in the near term.”</w:t>
      </w:r>
    </w:p>
    <w:p w:rsidR="001933E2" w:rsidRDefault="001933E2">
      <w:pPr>
        <w:jc w:val="both"/>
        <w:rPr>
          <w:rFonts w:ascii="Arial" w:hAnsi="Arial" w:cs="Arial"/>
          <w:color w:val="000000"/>
          <w:sz w:val="22"/>
          <w:szCs w:val="18"/>
        </w:rPr>
      </w:pPr>
    </w:p>
    <w:p w:rsidR="001933E2" w:rsidRDefault="001933E2">
      <w:pPr>
        <w:jc w:val="both"/>
        <w:rPr>
          <w:rFonts w:ascii="Arial" w:hAnsi="Arial" w:cs="Arial"/>
          <w:b/>
          <w:bCs/>
          <w:color w:val="000000"/>
          <w:sz w:val="22"/>
        </w:rPr>
      </w:pPr>
    </w:p>
    <w:p w:rsidR="001933E2" w:rsidRDefault="00681424">
      <w:pPr>
        <w:jc w:val="both"/>
        <w:rPr>
          <w:rFonts w:ascii="Arial" w:hAnsi="Arial" w:cs="Arial"/>
          <w:color w:val="000000"/>
          <w:sz w:val="22"/>
          <w:szCs w:val="18"/>
        </w:rPr>
      </w:pPr>
      <w:r>
        <w:rPr>
          <w:rFonts w:ascii="Arial" w:hAnsi="Arial" w:cs="Arial"/>
          <w:b/>
          <w:bCs/>
          <w:color w:val="000000"/>
          <w:sz w:val="22"/>
        </w:rPr>
        <w:t>YTL 791</w:t>
      </w:r>
      <w:r>
        <w:rPr>
          <w:rFonts w:ascii="Arial" w:hAnsi="Arial" w:cs="Arial"/>
          <w:b/>
          <w:bCs/>
          <w:color w:val="FF0000"/>
          <w:sz w:val="22"/>
        </w:rPr>
        <w:t xml:space="preserve"> </w:t>
      </w:r>
      <w:r>
        <w:rPr>
          <w:rFonts w:ascii="Arial" w:hAnsi="Arial" w:cs="Arial"/>
          <w:b/>
          <w:bCs/>
          <w:color w:val="000000"/>
          <w:sz w:val="22"/>
        </w:rPr>
        <w:t>in monthly repayment for a YTL 50,000 loan</w:t>
      </w:r>
    </w:p>
    <w:p w:rsidR="001933E2" w:rsidRDefault="00681424">
      <w:pPr>
        <w:jc w:val="both"/>
        <w:rPr>
          <w:rFonts w:ascii="Arial" w:hAnsi="Arial" w:cs="Arial"/>
          <w:color w:val="000000"/>
          <w:sz w:val="22"/>
        </w:rPr>
      </w:pPr>
      <w:r>
        <w:rPr>
          <w:rFonts w:ascii="Arial" w:hAnsi="Arial" w:cs="Arial"/>
          <w:color w:val="000000"/>
          <w:sz w:val="22"/>
        </w:rPr>
        <w:t>In the brand new era that TEB has initiated for all that wish to buy a dwelli</w:t>
      </w:r>
      <w:r>
        <w:rPr>
          <w:rFonts w:ascii="Arial" w:hAnsi="Arial" w:cs="Arial"/>
          <w:color w:val="000000"/>
          <w:sz w:val="22"/>
        </w:rPr>
        <w:t>ng, a customer that receives a home loan from TEB in the amount of TL 50 billion (YTL 50,000) at the new interest rate will pay back YTL 791 a month over a 120-month term. The monthly repayment will be YTL 1,176 in case the term is 60 months. A customer wh</w:t>
      </w:r>
      <w:r>
        <w:rPr>
          <w:rFonts w:ascii="Arial" w:hAnsi="Arial" w:cs="Arial"/>
          <w:color w:val="000000"/>
          <w:sz w:val="22"/>
        </w:rPr>
        <w:t>o gets a loan of TL 100 billion (YTL 100,000) will repay YTL 1,582 per month over 120 months or YTL 2,352 per month over 60 months.</w:t>
      </w:r>
    </w:p>
    <w:p w:rsidR="001933E2" w:rsidRDefault="001933E2">
      <w:pPr>
        <w:jc w:val="both"/>
        <w:rPr>
          <w:rFonts w:ascii="Arial" w:hAnsi="Arial" w:cs="Arial"/>
          <w:color w:val="000000"/>
          <w:sz w:val="22"/>
        </w:rPr>
      </w:pPr>
    </w:p>
    <w:p w:rsidR="001933E2" w:rsidRDefault="00681424">
      <w:pPr>
        <w:jc w:val="both"/>
        <w:rPr>
          <w:rFonts w:ascii="Arial" w:hAnsi="Arial" w:cs="Arial"/>
          <w:sz w:val="22"/>
          <w:szCs w:val="18"/>
        </w:rPr>
      </w:pPr>
      <w:r>
        <w:rPr>
          <w:rFonts w:ascii="Arial" w:hAnsi="Arial" w:cs="Arial"/>
          <w:sz w:val="22"/>
          <w:szCs w:val="18"/>
        </w:rPr>
        <w:lastRenderedPageBreak/>
        <w:t>Aiming to turn more consumers into home owners with its new 1.15-percent interest rate, TEB offers home loan applicants a w</w:t>
      </w:r>
      <w:r>
        <w:rPr>
          <w:rFonts w:ascii="Arial" w:hAnsi="Arial" w:cs="Arial"/>
          <w:sz w:val="22"/>
          <w:szCs w:val="18"/>
        </w:rPr>
        <w:t>ide choice of terms ranging from 3 to 120 months extending loans equivalent to 75 percent of the officially valued price of the dwellings the customers wish to buy.</w:t>
      </w:r>
    </w:p>
    <w:p w:rsidR="001933E2" w:rsidRDefault="001933E2">
      <w:pPr>
        <w:jc w:val="both"/>
        <w:rPr>
          <w:rFonts w:ascii="Arial" w:hAnsi="Arial" w:cs="Arial"/>
          <w:color w:val="000000"/>
          <w:sz w:val="22"/>
        </w:rPr>
      </w:pPr>
    </w:p>
    <w:p w:rsidR="001933E2" w:rsidRDefault="001933E2">
      <w:pPr>
        <w:jc w:val="both"/>
        <w:rPr>
          <w:rFonts w:ascii="Arial" w:hAnsi="Arial" w:cs="Arial"/>
          <w:b/>
          <w:bCs/>
          <w:color w:val="000000"/>
          <w:sz w:val="22"/>
        </w:rPr>
      </w:pPr>
    </w:p>
    <w:p w:rsidR="001933E2" w:rsidRDefault="001933E2">
      <w:pPr>
        <w:jc w:val="both"/>
        <w:rPr>
          <w:rFonts w:ascii="Arial" w:hAnsi="Arial" w:cs="Arial"/>
          <w:color w:val="000000"/>
          <w:sz w:val="22"/>
          <w:szCs w:val="18"/>
        </w:rPr>
      </w:pPr>
    </w:p>
    <w:p w:rsidR="001933E2" w:rsidRDefault="00681424">
      <w:pPr>
        <w:rPr>
          <w:rFonts w:ascii="Arial" w:hAnsi="Arial" w:cs="Arial"/>
          <w:b/>
          <w:bCs/>
          <w:color w:val="000000"/>
          <w:u w:val="single"/>
        </w:rPr>
      </w:pPr>
      <w:r>
        <w:rPr>
          <w:rFonts w:ascii="Arial" w:hAnsi="Arial" w:cs="Arial"/>
          <w:b/>
          <w:bCs/>
          <w:color w:val="000000"/>
          <w:szCs w:val="20"/>
          <w:u w:val="single"/>
        </w:rPr>
        <w:t xml:space="preserve">TEB’s home loan interest rates </w:t>
      </w:r>
      <w:r>
        <w:rPr>
          <w:rFonts w:ascii="Arial" w:hAnsi="Arial" w:cs="Arial"/>
          <w:b/>
          <w:bCs/>
          <w:color w:val="000000"/>
          <w:u w:val="single"/>
        </w:rPr>
        <w:t xml:space="preserve"> (*)</w:t>
      </w:r>
    </w:p>
    <w:p w:rsidR="001933E2" w:rsidRDefault="00681424">
      <w:pPr>
        <w:rPr>
          <w:rFonts w:ascii="Arial" w:hAnsi="Arial" w:cs="Arial"/>
          <w:b/>
          <w:bCs/>
          <w:color w:val="000000"/>
          <w:u w:val="single"/>
        </w:rPr>
      </w:pPr>
      <w:r>
        <w:rPr>
          <w:rFonts w:ascii="Arial" w:hAnsi="Arial" w:cs="Arial"/>
          <w:b/>
          <w:bCs/>
          <w:color w:val="000000"/>
          <w:u w:val="single"/>
        </w:rPr>
        <w:t> </w:t>
      </w:r>
    </w:p>
    <w:tbl>
      <w:tblPr>
        <w:tblW w:w="5620" w:type="dxa"/>
        <w:tblCellMar>
          <w:left w:w="0" w:type="dxa"/>
          <w:right w:w="0" w:type="dxa"/>
        </w:tblCellMar>
        <w:tblLook w:val="0000" w:firstRow="0" w:lastRow="0" w:firstColumn="0" w:lastColumn="0" w:noHBand="0" w:noVBand="0"/>
      </w:tblPr>
      <w:tblGrid>
        <w:gridCol w:w="1200"/>
        <w:gridCol w:w="2200"/>
        <w:gridCol w:w="2220"/>
      </w:tblGrid>
      <w:tr w:rsidR="001933E2">
        <w:trPr>
          <w:trHeight w:val="315"/>
        </w:trPr>
        <w:tc>
          <w:tcPr>
            <w:tcW w:w="1200" w:type="dxa"/>
            <w:tcBorders>
              <w:top w:val="single" w:sz="4" w:space="0" w:color="auto"/>
              <w:left w:val="single" w:sz="4" w:space="0" w:color="auto"/>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eastAsia="Arial Unicode MS" w:hAnsi="Arial" w:cs="Arial"/>
                <w:b/>
                <w:bCs/>
                <w:color w:val="000000"/>
              </w:rPr>
            </w:pPr>
            <w:r>
              <w:rPr>
                <w:rFonts w:ascii="Arial" w:hAnsi="Arial" w:cs="Arial"/>
                <w:b/>
                <w:bCs/>
                <w:color w:val="000000"/>
                <w:szCs w:val="20"/>
              </w:rPr>
              <w:t>Term (months)</w:t>
            </w:r>
          </w:p>
        </w:tc>
        <w:tc>
          <w:tcPr>
            <w:tcW w:w="2200" w:type="dxa"/>
            <w:tcBorders>
              <w:top w:val="single" w:sz="4" w:space="0" w:color="auto"/>
              <w:left w:val="nil"/>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hAnsi="Arial" w:cs="Arial"/>
                <w:b/>
                <w:bCs/>
                <w:color w:val="000000"/>
              </w:rPr>
            </w:pPr>
            <w:r>
              <w:rPr>
                <w:rFonts w:ascii="Arial" w:hAnsi="Arial" w:cs="Arial"/>
                <w:b/>
                <w:bCs/>
                <w:color w:val="000000"/>
              </w:rPr>
              <w:t xml:space="preserve">YTL/month </w:t>
            </w:r>
          </w:p>
          <w:p w:rsidR="001933E2" w:rsidRDefault="00681424">
            <w:pPr>
              <w:rPr>
                <w:rFonts w:ascii="Arial" w:eastAsia="Arial Unicode MS" w:hAnsi="Arial" w:cs="Arial"/>
                <w:b/>
                <w:bCs/>
                <w:color w:val="000000"/>
              </w:rPr>
            </w:pPr>
            <w:r>
              <w:rPr>
                <w:rFonts w:ascii="Arial" w:hAnsi="Arial" w:cs="Arial"/>
                <w:b/>
                <w:bCs/>
                <w:color w:val="000000"/>
              </w:rPr>
              <w:t>(former rate)</w:t>
            </w:r>
          </w:p>
        </w:tc>
        <w:tc>
          <w:tcPr>
            <w:tcW w:w="2220" w:type="dxa"/>
            <w:tcBorders>
              <w:top w:val="single" w:sz="4" w:space="0" w:color="auto"/>
              <w:left w:val="nil"/>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hAnsi="Arial" w:cs="Arial"/>
                <w:b/>
                <w:bCs/>
                <w:color w:val="000000"/>
              </w:rPr>
            </w:pPr>
            <w:r>
              <w:rPr>
                <w:rFonts w:ascii="Arial" w:hAnsi="Arial" w:cs="Arial"/>
                <w:b/>
                <w:bCs/>
                <w:color w:val="000000"/>
              </w:rPr>
              <w:t xml:space="preserve">YTL/month </w:t>
            </w:r>
          </w:p>
          <w:p w:rsidR="001933E2" w:rsidRDefault="00681424">
            <w:pPr>
              <w:rPr>
                <w:rFonts w:ascii="Arial" w:eastAsia="Arial Unicode MS" w:hAnsi="Arial" w:cs="Arial"/>
                <w:b/>
                <w:bCs/>
                <w:color w:val="000000"/>
              </w:rPr>
            </w:pPr>
            <w:r>
              <w:rPr>
                <w:rFonts w:ascii="Arial" w:hAnsi="Arial" w:cs="Arial"/>
                <w:b/>
                <w:bCs/>
                <w:color w:val="000000"/>
              </w:rPr>
              <w:t>(new rate)</w:t>
            </w:r>
          </w:p>
        </w:tc>
      </w:tr>
      <w:tr w:rsidR="001933E2">
        <w:trPr>
          <w:trHeight w:val="300"/>
        </w:trPr>
        <w:tc>
          <w:tcPr>
            <w:tcW w:w="0" w:type="auto"/>
            <w:tcBorders>
              <w:top w:val="nil"/>
              <w:left w:val="single" w:sz="4" w:space="0" w:color="auto"/>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eastAsia="Arial Unicode MS" w:hAnsi="Arial" w:cs="Arial"/>
                <w:color w:val="000000"/>
              </w:rPr>
            </w:pPr>
            <w:r>
              <w:rPr>
                <w:rFonts w:ascii="Arial" w:hAnsi="Arial" w:cs="Arial"/>
                <w:color w:val="000000"/>
                <w:szCs w:val="20"/>
              </w:rPr>
              <w:t>12-24</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eastAsia="Arial Unicode MS" w:hAnsi="Arial" w:cs="Arial"/>
                <w:color w:val="000000"/>
              </w:rPr>
            </w:pPr>
            <w:r>
              <w:rPr>
                <w:rFonts w:ascii="Arial" w:hAnsi="Arial" w:cs="Arial"/>
                <w:color w:val="000000"/>
              </w:rPr>
              <w:t> 1.27 % </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eastAsia="Arial Unicode MS" w:hAnsi="Arial" w:cs="Arial"/>
                <w:color w:val="000000"/>
              </w:rPr>
            </w:pPr>
            <w:r>
              <w:rPr>
                <w:rFonts w:ascii="Arial" w:hAnsi="Arial" w:cs="Arial"/>
                <w:color w:val="000000"/>
              </w:rPr>
              <w:t>1.25 % </w:t>
            </w:r>
          </w:p>
        </w:tc>
      </w:tr>
      <w:tr w:rsidR="001933E2">
        <w:trPr>
          <w:trHeight w:val="300"/>
        </w:trPr>
        <w:tc>
          <w:tcPr>
            <w:tcW w:w="0" w:type="auto"/>
            <w:tcBorders>
              <w:top w:val="nil"/>
              <w:left w:val="single" w:sz="4" w:space="0" w:color="auto"/>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eastAsia="Arial Unicode MS" w:hAnsi="Arial" w:cs="Arial"/>
                <w:color w:val="000000"/>
              </w:rPr>
            </w:pPr>
            <w:r>
              <w:rPr>
                <w:rFonts w:ascii="Arial" w:hAnsi="Arial" w:cs="Arial"/>
                <w:color w:val="000000"/>
                <w:szCs w:val="20"/>
              </w:rPr>
              <w:t>36 -120</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eastAsia="Arial Unicode MS" w:hAnsi="Arial" w:cs="Arial"/>
                <w:color w:val="000000"/>
              </w:rPr>
            </w:pPr>
            <w:r>
              <w:rPr>
                <w:rFonts w:ascii="Arial" w:hAnsi="Arial" w:cs="Arial"/>
                <w:color w:val="000000"/>
              </w:rPr>
              <w:t> 1.19 %</w:t>
            </w:r>
          </w:p>
        </w:tc>
        <w:tc>
          <w:tcPr>
            <w:tcW w:w="0" w:type="auto"/>
            <w:tcBorders>
              <w:top w:val="nil"/>
              <w:left w:val="nil"/>
              <w:bottom w:val="single" w:sz="4" w:space="0" w:color="auto"/>
              <w:right w:val="single" w:sz="4" w:space="0" w:color="auto"/>
            </w:tcBorders>
            <w:noWrap/>
            <w:tcMar>
              <w:top w:w="16" w:type="dxa"/>
              <w:left w:w="16" w:type="dxa"/>
              <w:bottom w:w="0" w:type="dxa"/>
              <w:right w:w="16" w:type="dxa"/>
            </w:tcMar>
            <w:vAlign w:val="bottom"/>
          </w:tcPr>
          <w:p w:rsidR="001933E2" w:rsidRDefault="00681424">
            <w:pPr>
              <w:rPr>
                <w:rFonts w:ascii="Arial" w:eastAsia="Arial Unicode MS" w:hAnsi="Arial" w:cs="Arial"/>
                <w:color w:val="000000"/>
              </w:rPr>
            </w:pPr>
            <w:r>
              <w:rPr>
                <w:rFonts w:ascii="Arial" w:hAnsi="Arial" w:cs="Arial"/>
                <w:color w:val="000000"/>
              </w:rPr>
              <w:t>1.15 % </w:t>
            </w:r>
          </w:p>
        </w:tc>
      </w:tr>
    </w:tbl>
    <w:p w:rsidR="001933E2" w:rsidRDefault="00681424">
      <w:pPr>
        <w:rPr>
          <w:rFonts w:ascii="Arial" w:hAnsi="Arial" w:cs="Arial"/>
          <w:sz w:val="22"/>
        </w:rPr>
      </w:pPr>
      <w:r>
        <w:rPr>
          <w:rFonts w:ascii="Arial" w:hAnsi="Arial" w:cs="Arial"/>
          <w:sz w:val="22"/>
        </w:rPr>
        <w:t> </w:t>
      </w:r>
    </w:p>
    <w:p w:rsidR="001933E2" w:rsidRDefault="00681424">
      <w:pPr>
        <w:rPr>
          <w:rFonts w:ascii="Arial" w:hAnsi="Arial" w:cs="Arial"/>
          <w:sz w:val="22"/>
        </w:rPr>
      </w:pPr>
      <w:r>
        <w:rPr>
          <w:rFonts w:ascii="Arial" w:hAnsi="Arial" w:cs="Arial"/>
          <w:sz w:val="22"/>
        </w:rPr>
        <w:t> </w:t>
      </w:r>
    </w:p>
    <w:p w:rsidR="001933E2" w:rsidRDefault="00681424">
      <w:pPr>
        <w:rPr>
          <w:rFonts w:ascii="Arial" w:hAnsi="Arial" w:cs="Arial"/>
          <w:sz w:val="22"/>
        </w:rPr>
      </w:pPr>
      <w:r>
        <w:rPr>
          <w:rFonts w:ascii="Arial" w:hAnsi="Arial" w:cs="Arial"/>
          <w:sz w:val="22"/>
        </w:rPr>
        <w:t> </w:t>
      </w:r>
    </w:p>
    <w:p w:rsidR="001933E2" w:rsidRDefault="00681424">
      <w:pPr>
        <w:rPr>
          <w:rFonts w:ascii="Arial" w:hAnsi="Arial" w:cs="Arial"/>
          <w:sz w:val="22"/>
        </w:rPr>
      </w:pPr>
      <w:r>
        <w:rPr>
          <w:rFonts w:ascii="Arial" w:eastAsia="Arial Unicode MS" w:hAnsi="Arial" w:cs="Arial"/>
          <w:sz w:val="20"/>
          <w:szCs w:val="20"/>
        </w:rPr>
        <w:t xml:space="preserve">(*) The interest rates on individual credit that TEB applies to home loans were reset to become effective as of 24 November 2005. </w:t>
      </w:r>
    </w:p>
    <w:p w:rsidR="001933E2" w:rsidRDefault="00681424">
      <w:pPr>
        <w:rPr>
          <w:rFonts w:ascii="Arial" w:hAnsi="Arial" w:cs="Arial"/>
          <w:color w:val="000000"/>
          <w:sz w:val="22"/>
        </w:rPr>
      </w:pPr>
      <w:r>
        <w:rPr>
          <w:rFonts w:ascii="Arial" w:hAnsi="Arial" w:cs="Arial"/>
          <w:sz w:val="22"/>
        </w:rPr>
        <w:t> </w:t>
      </w:r>
    </w:p>
    <w:p w:rsidR="001933E2" w:rsidRDefault="001933E2">
      <w:pPr>
        <w:rPr>
          <w:rFonts w:ascii="Arial" w:hAnsi="Arial" w:cs="Arial"/>
          <w:color w:val="000000"/>
        </w:rPr>
      </w:pPr>
    </w:p>
    <w:p w:rsidR="001933E2" w:rsidRDefault="001933E2">
      <w:pPr>
        <w:rPr>
          <w:rFonts w:ascii="Arial" w:hAnsi="Arial" w:cs="Arial"/>
          <w:color w:val="000000"/>
          <w:sz w:val="22"/>
        </w:rPr>
      </w:pPr>
    </w:p>
    <w:p w:rsidR="001933E2" w:rsidRDefault="00681424">
      <w:pPr>
        <w:rPr>
          <w:rFonts w:ascii="Arial" w:hAnsi="Arial" w:cs="Arial"/>
          <w:color w:val="000000"/>
        </w:rPr>
      </w:pPr>
      <w:r>
        <w:rPr>
          <w:rFonts w:ascii="Arial" w:hAnsi="Arial" w:cs="Arial"/>
          <w:color w:val="000000"/>
        </w:rPr>
        <w:tab/>
      </w:r>
    </w:p>
    <w:p w:rsidR="001933E2" w:rsidRDefault="00681424">
      <w:pPr>
        <w:jc w:val="both"/>
        <w:rPr>
          <w:rFonts w:ascii="Arial" w:hAnsi="Arial" w:cs="Arial"/>
          <w:color w:val="000000"/>
          <w:sz w:val="20"/>
        </w:rPr>
      </w:pPr>
      <w:r>
        <w:rPr>
          <w:rFonts w:ascii="Arial" w:hAnsi="Arial" w:cs="Arial"/>
          <w:color w:val="000000"/>
          <w:sz w:val="20"/>
        </w:rPr>
        <w:t xml:space="preserve"> </w:t>
      </w:r>
    </w:p>
    <w:p w:rsidR="001933E2" w:rsidRDefault="001933E2">
      <w:pPr>
        <w:rPr>
          <w:rFonts w:ascii="Arial" w:hAnsi="Arial" w:cs="Arial"/>
          <w:color w:val="000000"/>
          <w:sz w:val="20"/>
        </w:rPr>
      </w:pPr>
    </w:p>
    <w:p w:rsidR="001933E2" w:rsidRDefault="001933E2">
      <w:pPr>
        <w:pStyle w:val="BodyText"/>
        <w:jc w:val="left"/>
        <w:rPr>
          <w:rFonts w:ascii="Arial" w:hAnsi="Arial" w:cs="Arial"/>
          <w:color w:val="000000"/>
          <w:sz w:val="20"/>
        </w:rPr>
      </w:pPr>
    </w:p>
    <w:p w:rsidR="001933E2" w:rsidRDefault="001933E2">
      <w:pPr>
        <w:pStyle w:val="BodyText"/>
        <w:jc w:val="left"/>
        <w:rPr>
          <w:rFonts w:ascii="Arial" w:hAnsi="Arial" w:cs="Arial"/>
          <w:sz w:val="20"/>
        </w:rPr>
      </w:pPr>
    </w:p>
    <w:sectPr w:rsidR="001933E2">
      <w:pgSz w:w="11906" w:h="16838" w:code="9"/>
      <w:pgMar w:top="1134" w:right="1418" w:bottom="1134" w:left="1418"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A2"/>
    <w:family w:val="roman"/>
    <w:pitch w:val="variable"/>
    <w:sig w:usb0="E0002AFF" w:usb1="C0007841" w:usb2="00000009" w:usb3="00000000" w:csb0="000001FF" w:csb1="00000000"/>
  </w:font>
  <w:font w:name="Arial">
    <w:panose1 w:val="020B0604020202020204"/>
    <w:charset w:val="A2"/>
    <w:family w:val="swiss"/>
    <w:pitch w:val="variable"/>
    <w:sig w:usb0="E0002AFF" w:usb1="C0007843" w:usb2="00000009" w:usb3="00000000" w:csb0="000001FF" w:csb1="00000000"/>
  </w:font>
  <w:font w:name="Verdana">
    <w:panose1 w:val="020B0604030504040204"/>
    <w:charset w:val="A2"/>
    <w:family w:val="swiss"/>
    <w:pitch w:val="variable"/>
    <w:sig w:usb0="A10006FF" w:usb1="4000205B" w:usb2="00000010" w:usb3="00000000" w:csb0="0000019F" w:csb1="00000000"/>
  </w:font>
  <w:font w:name="Times New Roman TUR">
    <w:panose1 w:val="02020603050405020304"/>
    <w:charset w:val="A2"/>
    <w:family w:val="roman"/>
    <w:pitch w:val="variable"/>
    <w:sig w:usb0="E0002AFF" w:usb1="C0007841" w:usb2="00000009" w:usb3="00000000" w:csb0="000001FF" w:csb1="00000000"/>
  </w:font>
  <w:font w:name="Arial Unicode MS">
    <w:panose1 w:val="020B0604020202020204"/>
    <w:charset w:val="00"/>
    <w:family w:val="roman"/>
    <w:notTrueType/>
    <w:pitch w:val="variable"/>
    <w:sig w:usb0="00000003" w:usb1="00000000" w:usb2="00000000" w:usb3="00000000" w:csb0="00000001" w:csb1="00000000"/>
  </w:font>
  <w:font w:name="Tahoma">
    <w:panose1 w:val="020B0604030504040204"/>
    <w:charset w:val="A2"/>
    <w:family w:val="swiss"/>
    <w:pitch w:val="variable"/>
    <w:sig w:usb0="E1002EFF" w:usb1="C000605B" w:usb2="00000029" w:usb3="00000000" w:csb0="000101FF" w:csb1="00000000"/>
  </w:font>
  <w:font w:name="Cambria">
    <w:panose1 w:val="02040503050406030204"/>
    <w:charset w:val="A2"/>
    <w:family w:val="roman"/>
    <w:pitch w:val="variable"/>
    <w:sig w:usb0="E00002FF" w:usb1="400004FF" w:usb2="00000000" w:usb3="00000000" w:csb0="0000019F" w:csb1="00000000"/>
  </w:font>
  <w:font w:name="Calibri">
    <w:panose1 w:val="020F0502020204030204"/>
    <w:charset w:val="A2"/>
    <w:family w:val="swiss"/>
    <w:pitch w:val="variable"/>
    <w:sig w:usb0="E00002FF" w:usb1="4000ACFF" w:usb2="00000001"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5"/>
  <w:defaultTabStop w:val="720"/>
  <w:hyphenationZone w:val="425"/>
  <w:noPunctuationKerning/>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F5350"/>
    <w:rsid w:val="001933E2"/>
    <w:rsid w:val="00681424"/>
    <w:rsid w:val="009F5350"/>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paragraph" w:styleId="Heading2">
    <w:name w:val="heading 2"/>
    <w:basedOn w:val="Normal"/>
    <w:next w:val="Normal"/>
    <w:qFormat/>
    <w:pPr>
      <w:keepNext/>
      <w:jc w:val="center"/>
      <w:outlineLvl w:val="1"/>
    </w:pPr>
    <w:rPr>
      <w:sz w:val="52"/>
      <w:lang w:val="tr-TR"/>
    </w:rPr>
  </w:style>
  <w:style w:type="paragraph" w:styleId="Heading3">
    <w:name w:val="heading 3"/>
    <w:basedOn w:val="Normal"/>
    <w:next w:val="Normal"/>
    <w:qFormat/>
    <w:pPr>
      <w:keepNext/>
      <w:jc w:val="both"/>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jc w:val="center"/>
    </w:pPr>
    <w:rPr>
      <w:rFonts w:ascii="Verdana" w:hAnsi="Verdana" w:cs="Times New Roman TUR"/>
      <w:sz w:val="28"/>
      <w:szCs w:val="28"/>
    </w:rPr>
  </w:style>
  <w:style w:type="paragraph" w:styleId="BodyText2">
    <w:name w:val="Body Text 2"/>
    <w:basedOn w:val="Normal"/>
    <w:semiHidden/>
    <w:pPr>
      <w:autoSpaceDE w:val="0"/>
      <w:autoSpaceDN w:val="0"/>
      <w:adjustRightInd w:val="0"/>
    </w:pPr>
    <w:rPr>
      <w:color w:val="0000FF"/>
      <w:szCs w:val="32"/>
    </w:rPr>
  </w:style>
  <w:style w:type="paragraph" w:styleId="BodyText3">
    <w:name w:val="Body Text 3"/>
    <w:basedOn w:val="Normal"/>
    <w:semiHidden/>
    <w:pPr>
      <w:spacing w:before="100" w:beforeAutospacing="1" w:after="100" w:afterAutospacing="1" w:line="195" w:lineRule="atLeast"/>
      <w:jc w:val="both"/>
    </w:pPr>
    <w:rPr>
      <w:b/>
      <w:bCs/>
      <w:lang w:val="tr-TR"/>
    </w:rPr>
  </w:style>
  <w:style w:type="character" w:customStyle="1" w:styleId="altsayfaaltbaslik">
    <w:name w:val="altsayfaaltbaslik"/>
    <w:basedOn w:val="DefaultParagraphFont"/>
  </w:style>
  <w:style w:type="paragraph" w:styleId="Title">
    <w:name w:val="Title"/>
    <w:basedOn w:val="Normal"/>
    <w:qFormat/>
    <w:pPr>
      <w:jc w:val="center"/>
    </w:pPr>
    <w:rPr>
      <w:sz w:val="44"/>
      <w:lang w:val="tr-TR" w:eastAsia="tr-TR"/>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val="tr-TR" w:eastAsia="tr-TR"/>
    </w:rPr>
  </w:style>
  <w:style w:type="character" w:customStyle="1" w:styleId="anaspot1">
    <w:name w:val="ana_spot1"/>
    <w:basedOn w:val="DefaultParagraphFont"/>
    <w:rPr>
      <w:rFonts w:ascii="Verdana" w:hAnsi="Verdana" w:hint="default"/>
      <w:b/>
      <w:bCs/>
      <w:color w:val="000000"/>
      <w:sz w:val="20"/>
      <w:szCs w:val="20"/>
    </w:rPr>
  </w:style>
  <w:style w:type="character" w:styleId="Strong">
    <w:name w:val="Strong"/>
    <w:basedOn w:val="DefaultParagraphFont"/>
    <w:qFormat/>
    <w:rPr>
      <w:b/>
      <w:bCs/>
    </w:rPr>
  </w:style>
  <w:style w:type="paragraph" w:styleId="BalloonText">
    <w:name w:val="Balloon Text"/>
    <w:basedOn w:val="Normal"/>
    <w:link w:val="BalloonTextChar"/>
    <w:uiPriority w:val="99"/>
    <w:semiHidden/>
    <w:unhideWhenUsed/>
    <w:rsid w:val="00681424"/>
    <w:rPr>
      <w:rFonts w:ascii="Tahoma" w:hAnsi="Tahoma" w:cs="Tahoma"/>
      <w:sz w:val="16"/>
      <w:szCs w:val="16"/>
    </w:rPr>
  </w:style>
  <w:style w:type="character" w:customStyle="1" w:styleId="BalloonTextChar">
    <w:name w:val="Balloon Text Char"/>
    <w:basedOn w:val="DefaultParagraphFont"/>
    <w:link w:val="BalloonText"/>
    <w:uiPriority w:val="99"/>
    <w:semiHidden/>
    <w:rsid w:val="00681424"/>
    <w:rPr>
      <w:rFonts w:ascii="Tahoma" w:hAnsi="Tahoma" w:cs="Tahoma"/>
      <w:sz w:val="16"/>
      <w:szCs w:val="16"/>
      <w:lang w:val="en-US"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tr-TR" w:eastAsia="tr-TR"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szCs w:val="24"/>
      <w:lang w:val="en-US" w:eastAsia="en-US"/>
    </w:rPr>
  </w:style>
  <w:style w:type="paragraph" w:styleId="Heading1">
    <w:name w:val="heading 1"/>
    <w:basedOn w:val="Normal"/>
    <w:next w:val="Normal"/>
    <w:qFormat/>
    <w:pPr>
      <w:keepNext/>
      <w:jc w:val="center"/>
      <w:outlineLvl w:val="0"/>
    </w:pPr>
    <w:rPr>
      <w:b/>
      <w:bCs/>
      <w:sz w:val="56"/>
      <w:lang w:val="tr-TR"/>
    </w:rPr>
  </w:style>
  <w:style w:type="paragraph" w:styleId="Heading2">
    <w:name w:val="heading 2"/>
    <w:basedOn w:val="Normal"/>
    <w:next w:val="Normal"/>
    <w:qFormat/>
    <w:pPr>
      <w:keepNext/>
      <w:jc w:val="center"/>
      <w:outlineLvl w:val="1"/>
    </w:pPr>
    <w:rPr>
      <w:sz w:val="52"/>
      <w:lang w:val="tr-TR"/>
    </w:rPr>
  </w:style>
  <w:style w:type="paragraph" w:styleId="Heading3">
    <w:name w:val="heading 3"/>
    <w:basedOn w:val="Normal"/>
    <w:next w:val="Normal"/>
    <w:qFormat/>
    <w:pPr>
      <w:keepNext/>
      <w:jc w:val="both"/>
      <w:outlineLvl w:val="2"/>
    </w:pPr>
    <w:rPr>
      <w:rFonts w:ascii="Arial" w:hAnsi="Arial" w:cs="Arial"/>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pPr>
      <w:autoSpaceDE w:val="0"/>
      <w:autoSpaceDN w:val="0"/>
      <w:adjustRightInd w:val="0"/>
      <w:jc w:val="center"/>
    </w:pPr>
    <w:rPr>
      <w:rFonts w:ascii="Verdana" w:hAnsi="Verdana" w:cs="Times New Roman TUR"/>
      <w:sz w:val="28"/>
      <w:szCs w:val="28"/>
    </w:rPr>
  </w:style>
  <w:style w:type="paragraph" w:styleId="BodyText2">
    <w:name w:val="Body Text 2"/>
    <w:basedOn w:val="Normal"/>
    <w:semiHidden/>
    <w:pPr>
      <w:autoSpaceDE w:val="0"/>
      <w:autoSpaceDN w:val="0"/>
      <w:adjustRightInd w:val="0"/>
    </w:pPr>
    <w:rPr>
      <w:color w:val="0000FF"/>
      <w:szCs w:val="32"/>
    </w:rPr>
  </w:style>
  <w:style w:type="paragraph" w:styleId="BodyText3">
    <w:name w:val="Body Text 3"/>
    <w:basedOn w:val="Normal"/>
    <w:semiHidden/>
    <w:pPr>
      <w:spacing w:before="100" w:beforeAutospacing="1" w:after="100" w:afterAutospacing="1" w:line="195" w:lineRule="atLeast"/>
      <w:jc w:val="both"/>
    </w:pPr>
    <w:rPr>
      <w:b/>
      <w:bCs/>
      <w:lang w:val="tr-TR"/>
    </w:rPr>
  </w:style>
  <w:style w:type="character" w:customStyle="1" w:styleId="altsayfaaltbaslik">
    <w:name w:val="altsayfaaltbaslik"/>
    <w:basedOn w:val="DefaultParagraphFont"/>
  </w:style>
  <w:style w:type="paragraph" w:styleId="Title">
    <w:name w:val="Title"/>
    <w:basedOn w:val="Normal"/>
    <w:qFormat/>
    <w:pPr>
      <w:jc w:val="center"/>
    </w:pPr>
    <w:rPr>
      <w:sz w:val="44"/>
      <w:lang w:val="tr-TR" w:eastAsia="tr-TR"/>
    </w:rPr>
  </w:style>
  <w:style w:type="paragraph" w:styleId="NormalWeb">
    <w:name w:val="Normal (Web)"/>
    <w:basedOn w:val="Normal"/>
    <w:semiHidden/>
    <w:pPr>
      <w:spacing w:before="100" w:beforeAutospacing="1" w:after="100" w:afterAutospacing="1"/>
    </w:pPr>
    <w:rPr>
      <w:rFonts w:ascii="Arial Unicode MS" w:eastAsia="Arial Unicode MS" w:hAnsi="Arial Unicode MS" w:cs="Arial Unicode MS"/>
      <w:lang w:val="tr-TR" w:eastAsia="tr-TR"/>
    </w:rPr>
  </w:style>
  <w:style w:type="character" w:customStyle="1" w:styleId="anaspot1">
    <w:name w:val="ana_spot1"/>
    <w:basedOn w:val="DefaultParagraphFont"/>
    <w:rPr>
      <w:rFonts w:ascii="Verdana" w:hAnsi="Verdana" w:hint="default"/>
      <w:b/>
      <w:bCs/>
      <w:color w:val="000000"/>
      <w:sz w:val="20"/>
      <w:szCs w:val="20"/>
    </w:rPr>
  </w:style>
  <w:style w:type="character" w:styleId="Strong">
    <w:name w:val="Strong"/>
    <w:basedOn w:val="DefaultParagraphFont"/>
    <w:qFormat/>
    <w:rPr>
      <w:b/>
      <w:bCs/>
    </w:rPr>
  </w:style>
  <w:style w:type="paragraph" w:styleId="BalloonText">
    <w:name w:val="Balloon Text"/>
    <w:basedOn w:val="Normal"/>
    <w:link w:val="BalloonTextChar"/>
    <w:uiPriority w:val="99"/>
    <w:semiHidden/>
    <w:unhideWhenUsed/>
    <w:rsid w:val="00681424"/>
    <w:rPr>
      <w:rFonts w:ascii="Tahoma" w:hAnsi="Tahoma" w:cs="Tahoma"/>
      <w:sz w:val="16"/>
      <w:szCs w:val="16"/>
    </w:rPr>
  </w:style>
  <w:style w:type="character" w:customStyle="1" w:styleId="BalloonTextChar">
    <w:name w:val="Balloon Text Char"/>
    <w:basedOn w:val="DefaultParagraphFont"/>
    <w:link w:val="BalloonText"/>
    <w:uiPriority w:val="99"/>
    <w:semiHidden/>
    <w:rsid w:val="00681424"/>
    <w:rPr>
      <w:rFonts w:ascii="Tahoma" w:hAnsi="Tahoma" w:cs="Tahoma"/>
      <w:sz w:val="16"/>
      <w:szCs w:val="16"/>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450</Words>
  <Characters>2568</Characters>
  <Application>Microsoft Office Word</Application>
  <DocSecurity>4</DocSecurity>
  <Lines>21</Lines>
  <Paragraphs>6</Paragraphs>
  <ScaleCrop>false</ScaleCrop>
  <Company>BNP Paribas</Company>
  <LinksUpToDate>false</LinksUpToDate>
  <CharactersWithSpaces>3012</CharactersWithSpaces>
  <SharedDoc>false</SharedDoc>
  <HLinks>
    <vt:vector size="6" baseType="variant">
      <vt:variant>
        <vt:i4>2359310</vt:i4>
      </vt:variant>
      <vt:variant>
        <vt:i4>1024</vt:i4>
      </vt:variant>
      <vt:variant>
        <vt:i4>1025</vt:i4>
      </vt:variant>
      <vt:variant>
        <vt:i4>1</vt:i4>
      </vt:variant>
      <vt:variant>
        <vt:lpwstr>..\imajlar\branding\teb-yenilogo.jpg</vt:lpwstr>
      </vt:variant>
      <vt:variant>
        <vt:lpwstr>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P23808</cp:lastModifiedBy>
  <cp:revision>2</cp:revision>
  <dcterms:created xsi:type="dcterms:W3CDTF">2016-11-28T07:01:00Z</dcterms:created>
  <dcterms:modified xsi:type="dcterms:W3CDTF">2016-11-28T07:01:00Z</dcterms:modified>
</cp:coreProperties>
</file>