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AF8" w:rsidRDefault="00CA369E">
      <w:pPr>
        <w:pStyle w:val="PlainText"/>
        <w:jc w:val="center"/>
        <w:rPr>
          <w:rFonts w:ascii="Arial" w:eastAsia="MS Mincho" w:hAnsi="Arial"/>
          <w:b/>
          <w:lang w:val="en-US"/>
        </w:rPr>
      </w:pPr>
      <w:bookmarkStart w:id="0" w:name="_GoBack"/>
      <w:bookmarkEnd w:id="0"/>
      <w:r>
        <w:rPr>
          <w:rFonts w:ascii="Arial" w:eastAsia="MS Mincho" w:hAnsi="Arial"/>
          <w:b/>
          <w:lang w:val="en-US"/>
        </w:rPr>
        <w:t xml:space="preserve">A NEW INVESTMENT FUND FROM </w:t>
      </w:r>
    </w:p>
    <w:p w:rsidR="00D63AF8" w:rsidRDefault="00CA369E">
      <w:pPr>
        <w:pStyle w:val="PlainText"/>
        <w:jc w:val="center"/>
        <w:rPr>
          <w:rFonts w:ascii="Arial" w:eastAsia="MS Mincho" w:hAnsi="Arial"/>
          <w:b/>
          <w:lang w:val="en-US"/>
        </w:rPr>
      </w:pPr>
      <w:r>
        <w:rPr>
          <w:rFonts w:ascii="Arial" w:eastAsia="MS Mincho" w:hAnsi="Arial"/>
          <w:b/>
          <w:lang w:val="en-US"/>
        </w:rPr>
        <w:t>CITIBANK AND THE TEB PORTFOLIO MANAGEMENT</w:t>
      </w:r>
    </w:p>
    <w:p w:rsidR="00D63AF8" w:rsidRDefault="00D63AF8">
      <w:pPr>
        <w:pStyle w:val="PlainText"/>
        <w:jc w:val="both"/>
        <w:rPr>
          <w:rFonts w:ascii="Arial" w:eastAsia="MS Mincho" w:hAnsi="Arial"/>
          <w:lang w:val="en-US"/>
        </w:rPr>
      </w:pPr>
    </w:p>
    <w:p w:rsidR="00D63AF8" w:rsidRDefault="00CA369E">
      <w:pPr>
        <w:pStyle w:val="PlainText"/>
        <w:jc w:val="both"/>
        <w:rPr>
          <w:rFonts w:ascii="Arial" w:eastAsia="MS Mincho" w:hAnsi="Arial"/>
          <w:lang w:val="en-US"/>
        </w:rPr>
      </w:pPr>
      <w:r>
        <w:rPr>
          <w:rFonts w:ascii="Arial" w:eastAsia="MS Mincho" w:hAnsi="Arial"/>
          <w:lang w:val="en-US"/>
        </w:rPr>
        <w:t xml:space="preserve">Operating under Citigroup, Citibank Turkey has begun offering its customers Type B CGold Variable Investment Fund by initiating another important cooperation with the TEB Portfolio </w:t>
      </w:r>
      <w:r>
        <w:rPr>
          <w:rFonts w:ascii="Arial" w:eastAsia="MS Mincho" w:hAnsi="Arial"/>
          <w:lang w:val="en-US"/>
        </w:rPr>
        <w:t>Management which is a BNP Paribas partnership. Citibank is going to be the sole distributor of this investment fund that is run by TEB Portfolio Management.</w:t>
      </w:r>
    </w:p>
    <w:p w:rsidR="00D63AF8" w:rsidRDefault="00D63AF8">
      <w:pPr>
        <w:pStyle w:val="PlainText"/>
        <w:jc w:val="both"/>
        <w:rPr>
          <w:rFonts w:ascii="Arial" w:eastAsia="MS Mincho" w:hAnsi="Arial"/>
          <w:lang w:val="en-US"/>
        </w:rPr>
      </w:pPr>
    </w:p>
    <w:p w:rsidR="00D63AF8" w:rsidRDefault="00CA369E">
      <w:pPr>
        <w:pStyle w:val="PlainText"/>
        <w:jc w:val="both"/>
        <w:rPr>
          <w:rFonts w:ascii="Arial" w:eastAsia="MS Mincho" w:hAnsi="Arial"/>
          <w:lang w:val="en-US"/>
        </w:rPr>
      </w:pPr>
      <w:r>
        <w:rPr>
          <w:rFonts w:ascii="Arial" w:eastAsia="MS Mincho" w:hAnsi="Arial"/>
          <w:lang w:val="en-US"/>
        </w:rPr>
        <w:t>There is no lower limit to invest in Type B CGold Variable Investment Fund. Nor is any leaving fee</w:t>
      </w:r>
      <w:r>
        <w:rPr>
          <w:rFonts w:ascii="Arial" w:eastAsia="MS Mincho" w:hAnsi="Arial"/>
          <w:lang w:val="en-US"/>
        </w:rPr>
        <w:t xml:space="preserve"> required when investors wish to leave the fund. </w:t>
      </w:r>
    </w:p>
    <w:p w:rsidR="00D63AF8" w:rsidRDefault="00D63AF8">
      <w:pPr>
        <w:pStyle w:val="PlainText"/>
        <w:jc w:val="both"/>
        <w:rPr>
          <w:rFonts w:ascii="Arial" w:eastAsia="MS Mincho" w:hAnsi="Arial"/>
          <w:lang w:val="en-US"/>
        </w:rPr>
      </w:pPr>
    </w:p>
    <w:p w:rsidR="00D63AF8" w:rsidRDefault="00CA369E">
      <w:pPr>
        <w:pStyle w:val="PlainText"/>
        <w:jc w:val="both"/>
        <w:rPr>
          <w:rFonts w:ascii="Arial" w:eastAsia="MS Mincho" w:hAnsi="Arial"/>
          <w:lang w:val="en-US"/>
        </w:rPr>
      </w:pPr>
      <w:r>
        <w:rPr>
          <w:rFonts w:ascii="Arial" w:eastAsia="MS Mincho" w:hAnsi="Arial"/>
          <w:lang w:val="en-US"/>
        </w:rPr>
        <w:t xml:space="preserve">Investors will be able to access this TEB Portfolio Management-run fund via Citibank branches. </w:t>
      </w:r>
    </w:p>
    <w:p w:rsidR="00D63AF8" w:rsidRDefault="00D63AF8">
      <w:pPr>
        <w:pStyle w:val="PlainText"/>
        <w:jc w:val="both"/>
        <w:rPr>
          <w:rFonts w:ascii="Arial" w:eastAsia="MS Mincho" w:hAnsi="Arial"/>
          <w:lang w:val="en-US"/>
        </w:rPr>
      </w:pPr>
    </w:p>
    <w:p w:rsidR="00D63AF8" w:rsidRDefault="00CA369E">
      <w:pPr>
        <w:pStyle w:val="PlainText"/>
        <w:jc w:val="both"/>
        <w:rPr>
          <w:rFonts w:ascii="Arial" w:eastAsia="MS Mincho" w:hAnsi="Arial"/>
          <w:color w:val="FF0000"/>
          <w:lang w:val="en-US"/>
        </w:rPr>
      </w:pPr>
      <w:r>
        <w:rPr>
          <w:rFonts w:ascii="Arial" w:eastAsia="MS Mincho" w:hAnsi="Arial"/>
          <w:lang w:val="en-US"/>
        </w:rPr>
        <w:t>The fund’s composition will be 70-100 percent long term government domestic bonds plus 0-30 percent İstanbul</w:t>
      </w:r>
      <w:r>
        <w:rPr>
          <w:rFonts w:ascii="Arial" w:eastAsia="MS Mincho" w:hAnsi="Arial"/>
          <w:lang w:val="en-US"/>
        </w:rPr>
        <w:t xml:space="preserve"> Stock Exchange overnight reverse repo transactions with a benchmark of 80 percent KYD 365-day index plus 20 percent KYD overnight net repo index.</w:t>
      </w:r>
    </w:p>
    <w:p w:rsidR="00D63AF8" w:rsidRDefault="00D63AF8">
      <w:pPr>
        <w:pStyle w:val="PlainText"/>
        <w:jc w:val="both"/>
        <w:rPr>
          <w:rFonts w:ascii="Arial" w:eastAsia="MS Mincho" w:hAnsi="Arial"/>
          <w:lang w:val="en-US"/>
        </w:rPr>
      </w:pPr>
    </w:p>
    <w:p w:rsidR="00D63AF8" w:rsidRDefault="00CA369E">
      <w:pPr>
        <w:pStyle w:val="PlainText"/>
        <w:jc w:val="both"/>
        <w:rPr>
          <w:rFonts w:ascii="Arial" w:eastAsia="MS Mincho" w:hAnsi="Arial"/>
          <w:lang w:val="en-US"/>
        </w:rPr>
      </w:pPr>
      <w:r>
        <w:rPr>
          <w:rFonts w:ascii="Arial" w:eastAsia="MS Mincho" w:hAnsi="Arial"/>
          <w:lang w:val="en-US"/>
        </w:rPr>
        <w:t>Citibank’s Retail Banking Investment Products Manager Cenk Tabakoğlu explained, ”As Citibank, we aim to offe</w:t>
      </w:r>
      <w:r>
        <w:rPr>
          <w:rFonts w:ascii="Arial" w:eastAsia="MS Mincho" w:hAnsi="Arial"/>
          <w:lang w:val="en-US"/>
        </w:rPr>
        <w:t>r a variety of investment products to our customers. The Type B CGold Variable Investment Fund we prepared in cooperation with TEB Portfolio Management is a new investment product that broadens our product range in the field of individual investments. It g</w:t>
      </w:r>
      <w:r>
        <w:rPr>
          <w:rFonts w:ascii="Arial" w:eastAsia="MS Mincho" w:hAnsi="Arial"/>
          <w:lang w:val="en-US"/>
        </w:rPr>
        <w:t>ives us great pleasure to deepen our existing cooperation with TEB.”</w:t>
      </w:r>
    </w:p>
    <w:p w:rsidR="00D63AF8" w:rsidRDefault="00D63AF8">
      <w:pPr>
        <w:pStyle w:val="PlainText"/>
        <w:jc w:val="both"/>
        <w:rPr>
          <w:rFonts w:ascii="Arial" w:eastAsia="MS Mincho" w:hAnsi="Arial"/>
          <w:lang w:val="en-US"/>
        </w:rPr>
      </w:pPr>
    </w:p>
    <w:p w:rsidR="00D63AF8" w:rsidRDefault="00CA369E">
      <w:pPr>
        <w:pStyle w:val="PlainText"/>
        <w:jc w:val="both"/>
        <w:rPr>
          <w:rFonts w:ascii="Arial" w:eastAsia="MS Mincho" w:hAnsi="Arial"/>
          <w:lang w:val="en-US"/>
        </w:rPr>
      </w:pPr>
      <w:r>
        <w:rPr>
          <w:rFonts w:ascii="Arial" w:eastAsia="MS Mincho" w:hAnsi="Arial"/>
          <w:lang w:val="en-US"/>
        </w:rPr>
        <w:t>TEB Portfolio Sales Manager Ayşe Caner said they were going to share their knowledge and expertise in the field of investment funds with Citibank customers as a result of the new coopera</w:t>
      </w:r>
      <w:r>
        <w:rPr>
          <w:rFonts w:ascii="Arial" w:eastAsia="MS Mincho" w:hAnsi="Arial"/>
          <w:lang w:val="en-US"/>
        </w:rPr>
        <w:t>tion. Pointing out that the CGold Variable Fund prepared exclusively for Citibank customers was a Type B investment fund, Ayşe Caner noted that the other funds they managed were also available to Citibank customers under their existing cooperation with Cit</w:t>
      </w:r>
      <w:r>
        <w:rPr>
          <w:rFonts w:ascii="Arial" w:eastAsia="MS Mincho" w:hAnsi="Arial"/>
          <w:lang w:val="en-US"/>
        </w:rPr>
        <w:t>ibank.</w:t>
      </w:r>
    </w:p>
    <w:p w:rsidR="00D63AF8" w:rsidRDefault="00D63AF8">
      <w:pPr>
        <w:pStyle w:val="PlainText"/>
        <w:jc w:val="both"/>
        <w:rPr>
          <w:rFonts w:ascii="Arial" w:eastAsia="MS Mincho" w:hAnsi="Arial"/>
          <w:lang w:val="en-US"/>
        </w:rPr>
      </w:pPr>
    </w:p>
    <w:p w:rsidR="00D63AF8" w:rsidRDefault="00CA369E">
      <w:pPr>
        <w:pStyle w:val="PlainText"/>
        <w:jc w:val="both"/>
        <w:rPr>
          <w:rFonts w:ascii="Arial" w:eastAsia="MS Mincho" w:hAnsi="Arial"/>
          <w:lang w:val="en-US"/>
        </w:rPr>
      </w:pPr>
      <w:r>
        <w:rPr>
          <w:rFonts w:ascii="Arial" w:eastAsia="MS Mincho" w:hAnsi="Arial"/>
          <w:lang w:val="en-US"/>
        </w:rPr>
        <w:t>Note:</w:t>
      </w:r>
    </w:p>
    <w:p w:rsidR="00D63AF8" w:rsidRDefault="00CA369E">
      <w:pPr>
        <w:pStyle w:val="PlainText"/>
        <w:jc w:val="both"/>
        <w:rPr>
          <w:rFonts w:ascii="Arial" w:eastAsia="MS Mincho" w:hAnsi="Arial"/>
          <w:lang w:val="en-US"/>
        </w:rPr>
      </w:pPr>
      <w:r>
        <w:rPr>
          <w:rFonts w:ascii="Arial" w:eastAsia="MS Mincho" w:hAnsi="Arial"/>
          <w:lang w:val="en-US"/>
        </w:rPr>
        <w:t>Citigroup (NYSE: C) is one of the world’s largest financial organizations offering global finance services to nearly 200 million customers in more than 100 countries. Citigroup operates in a wide spectrum of products and services including re</w:t>
      </w:r>
      <w:r>
        <w:rPr>
          <w:rFonts w:ascii="Arial" w:eastAsia="MS Mincho" w:hAnsi="Arial"/>
          <w:lang w:val="en-US"/>
        </w:rPr>
        <w:t>tail banking and loans, corporate banking and investment banking, stock trading and assets management for the benefit of individual customers, companies, governments, and organizations. Some of the major brands under Citigroup’s red umbrella trade mark are</w:t>
      </w:r>
      <w:r>
        <w:rPr>
          <w:rFonts w:ascii="Arial" w:eastAsia="MS Mincho" w:hAnsi="Arial"/>
          <w:lang w:val="en-US"/>
        </w:rPr>
        <w:t xml:space="preserve"> Citibank, CitiFinancial, Primerica, Smith Barney, and Banamex. For detailed information, visit www.citigroup.com.</w:t>
      </w:r>
    </w:p>
    <w:sectPr w:rsidR="00D63AF8">
      <w:headerReference w:type="default" r:id="rId7"/>
      <w:pgSz w:w="11901" w:h="16840"/>
      <w:pgMar w:top="2268" w:right="1701" w:bottom="1701" w:left="1701"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AF8" w:rsidRDefault="003A5CC4">
      <w:r>
        <w:separator/>
      </w:r>
    </w:p>
  </w:endnote>
  <w:endnote w:type="continuationSeparator" w:id="0">
    <w:p w:rsidR="00D63AF8" w:rsidRDefault="003A5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Lucida Grande">
    <w:charset w:val="00"/>
    <w:family w:val="auto"/>
    <w:pitch w:val="variable"/>
    <w:sig w:usb0="03000000"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AF8" w:rsidRDefault="003A5CC4">
      <w:r>
        <w:separator/>
      </w:r>
    </w:p>
  </w:footnote>
  <w:footnote w:type="continuationSeparator" w:id="0">
    <w:p w:rsidR="00D63AF8" w:rsidRDefault="003A5C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ook w:val="00A0" w:firstRow="1" w:lastRow="0" w:firstColumn="1" w:lastColumn="0" w:noHBand="0" w:noVBand="0"/>
    </w:tblPr>
    <w:tblGrid>
      <w:gridCol w:w="4447"/>
      <w:gridCol w:w="4268"/>
    </w:tblGrid>
    <w:tr w:rsidR="00D63AF8">
      <w:trPr>
        <w:jc w:val="center"/>
      </w:trPr>
      <w:tc>
        <w:tcPr>
          <w:tcW w:w="4527" w:type="dxa"/>
        </w:tcPr>
        <w:p w:rsidR="00D63AF8" w:rsidRDefault="003A5CC4">
          <w:pPr>
            <w:pStyle w:val="Header"/>
            <w:jc w:val="right"/>
          </w:pPr>
          <w:r>
            <w:rPr>
              <w:noProof/>
              <w:lang w:eastAsia="tr-TR"/>
            </w:rPr>
            <w:drawing>
              <wp:inline distT="0" distB="0" distL="0" distR="0">
                <wp:extent cx="2411730" cy="622935"/>
                <wp:effectExtent l="0" t="0" r="7620" b="5715"/>
                <wp:docPr id="1" name="Picture 1" descr="TEB Portfo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B Portfoy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1730" cy="622935"/>
                        </a:xfrm>
                        <a:prstGeom prst="rect">
                          <a:avLst/>
                        </a:prstGeom>
                        <a:noFill/>
                        <a:ln>
                          <a:noFill/>
                        </a:ln>
                      </pic:spPr>
                    </pic:pic>
                  </a:graphicData>
                </a:graphic>
              </wp:inline>
            </w:drawing>
          </w:r>
        </w:p>
      </w:tc>
      <w:tc>
        <w:tcPr>
          <w:tcW w:w="4527" w:type="dxa"/>
        </w:tcPr>
        <w:p w:rsidR="00D63AF8" w:rsidRDefault="003A5CC4">
          <w:pPr>
            <w:pStyle w:val="Header"/>
          </w:pPr>
          <w:r>
            <w:rPr>
              <w:noProof/>
              <w:lang w:eastAsia="tr-TR"/>
            </w:rPr>
            <w:drawing>
              <wp:inline distT="0" distB="0" distL="0" distR="0">
                <wp:extent cx="1699260" cy="639445"/>
                <wp:effectExtent l="0" t="0" r="0" b="8255"/>
                <wp:docPr id="2" name="Picture 2" descr="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t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99260" cy="639445"/>
                        </a:xfrm>
                        <a:prstGeom prst="rect">
                          <a:avLst/>
                        </a:prstGeom>
                        <a:noFill/>
                        <a:ln>
                          <a:noFill/>
                        </a:ln>
                      </pic:spPr>
                    </pic:pic>
                  </a:graphicData>
                </a:graphic>
              </wp:inline>
            </w:drawing>
          </w:r>
        </w:p>
      </w:tc>
    </w:tr>
  </w:tbl>
  <w:p w:rsidR="00D63AF8" w:rsidRDefault="00D63AF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hideSpellingErrors/>
  <w:hideGrammaticalErrors/>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CC4"/>
    <w:rsid w:val="003A5CC4"/>
    <w:rsid w:val="00CA369E"/>
    <w:rsid w:val="00D63AF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Lucida Grande" w:hAnsi="Lucida Grande"/>
      <w:sz w:val="18"/>
      <w:szCs w:val="18"/>
    </w:rPr>
  </w:style>
  <w:style w:type="paragraph" w:styleId="PlainText">
    <w:name w:val="Plain Text"/>
    <w:basedOn w:val="Normal"/>
    <w:semiHidden/>
    <w:rPr>
      <w:rFonts w:ascii="Courier" w:hAnsi="Courier"/>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Lucida Grande" w:hAnsi="Lucida Grande"/>
      <w:sz w:val="18"/>
      <w:szCs w:val="18"/>
    </w:rPr>
  </w:style>
  <w:style w:type="paragraph" w:styleId="PlainText">
    <w:name w:val="Plain Text"/>
    <w:basedOn w:val="Normal"/>
    <w:semiHidden/>
    <w:rPr>
      <w:rFonts w:ascii="Courier" w:hAnsi="Courier"/>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360</Words>
  <Characters>2055</Characters>
  <Application>Microsoft Office Word</Application>
  <DocSecurity>4</DocSecurity>
  <Lines>17</Lines>
  <Paragraphs>4</Paragraphs>
  <ScaleCrop>false</ScaleCrop>
  <Company>BNP Paribas</Company>
  <LinksUpToDate>false</LinksUpToDate>
  <CharactersWithSpaces>2411</CharactersWithSpaces>
  <SharedDoc>false</SharedDoc>
  <HLinks>
    <vt:vector size="12" baseType="variant">
      <vt:variant>
        <vt:i4>1114112</vt:i4>
      </vt:variant>
      <vt:variant>
        <vt:i4>4719</vt:i4>
      </vt:variant>
      <vt:variant>
        <vt:i4>1025</vt:i4>
      </vt:variant>
      <vt:variant>
        <vt:i4>1</vt:i4>
      </vt:variant>
      <vt:variant>
        <vt:lpwstr>TEB Portfoy Logo</vt:lpwstr>
      </vt:variant>
      <vt:variant>
        <vt:lpwstr>
        </vt:lpwstr>
      </vt:variant>
      <vt:variant>
        <vt:i4>1048599</vt:i4>
      </vt:variant>
      <vt:variant>
        <vt:i4>4721</vt:i4>
      </vt:variant>
      <vt:variant>
        <vt:i4>1026</vt:i4>
      </vt:variant>
      <vt:variant>
        <vt:i4>1</vt:i4>
      </vt:variant>
      <vt:variant>
        <vt:lpwstr>city</vt:lpwstr>
      </vt:variant>
      <vt:variant>
        <vt:lpwstr>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2016-11-28T07:00:00Z</dcterms:created>
  <dcterms:modified xsi:type="dcterms:W3CDTF">2016-11-28T07:00:00Z</dcterms:modified>
</cp:coreProperties>
</file>