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943A3" w:rsidRDefault="008B5DB4">
      <w:pPr>
        <w:pStyle w:val="Heading1"/>
        <w:jc w:val="left"/>
        <w:rPr>
          <w:sz w:val="22"/>
          <w:lang w:val="en-US"/>
        </w:rPr>
      </w:pPr>
      <w:r>
        <w:rPr>
          <w:lang w:val="en-US"/>
        </w:rPr>
        <w:object w:dxaOrig="6376" w:dyaOrig="34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6pt;height:56.95pt" o:ole="">
            <v:imagedata r:id="rId6" o:title=""/>
          </v:shape>
          <o:OLEObject Type="Embed" ProgID="MSPhotoEd.3" ShapeID="_x0000_i1025" DrawAspect="Content" ObjectID="_1541832409" r:id="rId7"/>
        </w:object>
      </w:r>
    </w:p>
    <w:p w:rsidR="006943A3" w:rsidRDefault="006943A3">
      <w:pPr>
        <w:pStyle w:val="Heading1"/>
        <w:jc w:val="right"/>
        <w:rPr>
          <w:sz w:val="22"/>
          <w:lang w:val="en-US"/>
        </w:rPr>
      </w:pPr>
    </w:p>
    <w:p w:rsidR="006943A3" w:rsidRDefault="006943A3">
      <w:pPr>
        <w:pStyle w:val="Heading1"/>
        <w:jc w:val="right"/>
        <w:rPr>
          <w:sz w:val="22"/>
          <w:lang w:val="en-US"/>
        </w:rPr>
      </w:pPr>
    </w:p>
    <w:p w:rsidR="006943A3" w:rsidRDefault="008B5DB4">
      <w:pPr>
        <w:pStyle w:val="Heading1"/>
        <w:jc w:val="right"/>
        <w:rPr>
          <w:sz w:val="22"/>
          <w:lang w:val="en-US"/>
        </w:rPr>
      </w:pPr>
      <w:r>
        <w:rPr>
          <w:sz w:val="22"/>
          <w:lang w:val="en-US"/>
        </w:rPr>
        <w:t>Friday, 14 October 2005</w:t>
      </w:r>
    </w:p>
    <w:p w:rsidR="006943A3" w:rsidRDefault="006943A3">
      <w:pPr>
        <w:pStyle w:val="BodyText2"/>
        <w:jc w:val="both"/>
        <w:rPr>
          <w:b w:val="0"/>
          <w:bCs w:val="0"/>
          <w:sz w:val="28"/>
          <w:lang w:val="en-US"/>
        </w:rPr>
      </w:pPr>
    </w:p>
    <w:p w:rsidR="006943A3" w:rsidRDefault="008B5DB4">
      <w:pPr>
        <w:pStyle w:val="BodyText2"/>
        <w:rPr>
          <w:sz w:val="60"/>
          <w:lang w:val="en-US"/>
        </w:rPr>
      </w:pPr>
      <w:r>
        <w:rPr>
          <w:sz w:val="60"/>
          <w:lang w:val="en-US"/>
        </w:rPr>
        <w:t>How to do business in Algeria</w:t>
      </w:r>
    </w:p>
    <w:p w:rsidR="006943A3" w:rsidRDefault="006943A3">
      <w:pPr>
        <w:pStyle w:val="BodyText3"/>
        <w:jc w:val="both"/>
        <w:rPr>
          <w:sz w:val="24"/>
          <w:lang w:val="en-US"/>
        </w:rPr>
      </w:pPr>
    </w:p>
    <w:p w:rsidR="006943A3" w:rsidRDefault="008B5DB4">
      <w:pPr>
        <w:pStyle w:val="BodyText3"/>
        <w:rPr>
          <w:iCs/>
          <w:lang w:val="en-US"/>
        </w:rPr>
      </w:pPr>
      <w:r>
        <w:rPr>
          <w:iCs/>
          <w:lang w:val="en-US"/>
        </w:rPr>
        <w:t>Türk Ekonomi Bank’s consultancy services offered to companies wishing to do business in foreign markets via the Trade Centers it put into operation after the BNP Paribas par</w:t>
      </w:r>
      <w:r>
        <w:rPr>
          <w:iCs/>
          <w:lang w:val="en-US"/>
        </w:rPr>
        <w:t xml:space="preserve">tnership deal continue with conferences on foreign trade development. The first in the series of TEB Trade Center Foreign Trade Development Seminars was a briefing on how to do business in Algeria, the rising star of Africa, and the business opportunities </w:t>
      </w:r>
      <w:r>
        <w:rPr>
          <w:iCs/>
          <w:lang w:val="en-US"/>
        </w:rPr>
        <w:t xml:space="preserve">in that country. </w:t>
      </w:r>
      <w:r>
        <w:rPr>
          <w:iCs/>
          <w:lang w:val="en-US"/>
        </w:rPr>
        <w:br/>
      </w:r>
    </w:p>
    <w:p w:rsidR="006943A3" w:rsidRDefault="008B5DB4">
      <w:pPr>
        <w:jc w:val="both"/>
        <w:rPr>
          <w:rFonts w:ascii="Arial" w:hAnsi="Arial" w:cs="Arial"/>
          <w:sz w:val="22"/>
          <w:lang w:val="en-US"/>
        </w:rPr>
      </w:pPr>
      <w:r>
        <w:rPr>
          <w:rFonts w:ascii="Arial" w:hAnsi="Arial" w:cs="Arial"/>
          <w:sz w:val="22"/>
          <w:lang w:val="en-US"/>
        </w:rPr>
        <w:t>The TEB Trade Centers established in Turkey by the Türk Ekonomi Bank (TEB) and BNP Paribas partnership that provide support in foreign trade financing began their foreign trade development conferences with a seminar on “How To Do Busines</w:t>
      </w:r>
      <w:r>
        <w:rPr>
          <w:rFonts w:ascii="Arial" w:hAnsi="Arial" w:cs="Arial"/>
          <w:sz w:val="22"/>
          <w:lang w:val="en-US"/>
        </w:rPr>
        <w:t>s In Algeria.”</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Offering consultancy services to companies wishing to do business in foreign markets via the Trade Centers it put into operation after the BNP Paribas partnership as well as the Turkey Desks it set up in countries where the BNP has a presen</w:t>
      </w:r>
      <w:r>
        <w:rPr>
          <w:rFonts w:ascii="Arial" w:hAnsi="Arial" w:cs="Arial"/>
          <w:sz w:val="22"/>
          <w:lang w:val="en-US"/>
        </w:rPr>
        <w:t xml:space="preserve">ce, TEB transfers its foreign trade expertise to its clients by means of the TEB Trade Center Foreign Trade Development Seminars. </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The business opportunities in Algeria, the procedures Turkish firms seeking to do business in Algeria need to follow, and th</w:t>
      </w:r>
      <w:r>
        <w:rPr>
          <w:rFonts w:ascii="Arial" w:hAnsi="Arial" w:cs="Arial"/>
          <w:sz w:val="22"/>
          <w:lang w:val="en-US"/>
        </w:rPr>
        <w:t>e services the Turkey Desk in Algeria will offer companies were addressed in the seminar that was formally opened by TEB General Manager Varol Civil and attended by TEB Board Member Alain Bailly, BNP Paribas General Manager for Algeria François-Edouard Dri</w:t>
      </w:r>
      <w:r>
        <w:rPr>
          <w:rFonts w:ascii="Arial" w:hAnsi="Arial" w:cs="Arial"/>
          <w:sz w:val="22"/>
          <w:lang w:val="en-US"/>
        </w:rPr>
        <w:t>on, TEB Finance Organizations Deputy General Manager Levent Çelebioğlu, BNP Paribas Turkey Desk in Algeria Officer-in-charge Ali Aras, and Hayat Kimya Fiscal and Administrative Affairs Coordinator Arda Tugay whose firm does business in Algeria.</w:t>
      </w:r>
    </w:p>
    <w:p w:rsidR="006943A3" w:rsidRDefault="006943A3">
      <w:pPr>
        <w:jc w:val="both"/>
        <w:rPr>
          <w:rFonts w:ascii="Arial" w:hAnsi="Arial" w:cs="Arial"/>
          <w:sz w:val="22"/>
          <w:lang w:val="en-US"/>
        </w:rPr>
      </w:pPr>
    </w:p>
    <w:p w:rsidR="006943A3" w:rsidRDefault="008B5DB4">
      <w:pPr>
        <w:jc w:val="both"/>
        <w:rPr>
          <w:rFonts w:ascii="Arial" w:hAnsi="Arial" w:cs="Arial"/>
          <w:b/>
          <w:bCs/>
          <w:sz w:val="22"/>
          <w:lang w:val="en-US"/>
        </w:rPr>
      </w:pPr>
      <w:r>
        <w:rPr>
          <w:rFonts w:ascii="Arial" w:hAnsi="Arial" w:cs="Arial"/>
          <w:b/>
          <w:bCs/>
          <w:sz w:val="22"/>
          <w:lang w:val="en-US"/>
        </w:rPr>
        <w:t>A benchmar</w:t>
      </w:r>
      <w:r>
        <w:rPr>
          <w:rFonts w:ascii="Arial" w:hAnsi="Arial" w:cs="Arial"/>
          <w:b/>
          <w:bCs/>
          <w:sz w:val="22"/>
          <w:lang w:val="en-US"/>
        </w:rPr>
        <w:t>k in foreign trade banking</w:t>
      </w:r>
    </w:p>
    <w:p w:rsidR="006943A3" w:rsidRDefault="008B5DB4">
      <w:pPr>
        <w:jc w:val="both"/>
        <w:rPr>
          <w:rFonts w:ascii="Arial" w:hAnsi="Arial" w:cs="Arial"/>
          <w:sz w:val="22"/>
          <w:lang w:val="en-US"/>
        </w:rPr>
      </w:pPr>
      <w:r>
        <w:rPr>
          <w:rFonts w:ascii="Arial" w:hAnsi="Arial" w:cs="Arial"/>
          <w:sz w:val="22"/>
          <w:lang w:val="en-US"/>
        </w:rPr>
        <w:t>Speaking at the conference, BNP Paribas General Manager for Algeria François-Edouard Drion asserted that the Turkey Desk that TEB set up in Algeria after the TEB - BNP Paribas partnership deal would liven up the foreign trade bet</w:t>
      </w:r>
      <w:r>
        <w:rPr>
          <w:rFonts w:ascii="Arial" w:hAnsi="Arial" w:cs="Arial"/>
          <w:sz w:val="22"/>
          <w:lang w:val="en-US"/>
        </w:rPr>
        <w:t>ween Algeria and Turkey. Declaring their objective as ensuring a strong synergy between TEB and the BNP Paribas operations across the world, François-Edouard Drion said they wished to become a banking benchmark in Algeria.</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 xml:space="preserve">BNP Paribas General Manager for </w:t>
      </w:r>
      <w:r>
        <w:rPr>
          <w:rFonts w:ascii="Arial" w:hAnsi="Arial" w:cs="Arial"/>
          <w:sz w:val="22"/>
          <w:lang w:val="en-US"/>
        </w:rPr>
        <w:t xml:space="preserve">Algeria François-Edouard Drion said, “We position ourselves in a universal and multichanneled structure in commercial banking. We aim to present ourselves to our clients with progressive and innovative products not to mention our </w:t>
      </w:r>
      <w:r>
        <w:rPr>
          <w:rFonts w:ascii="Arial" w:hAnsi="Arial" w:cs="Arial"/>
          <w:sz w:val="22"/>
          <w:lang w:val="en-US"/>
        </w:rPr>
        <w:lastRenderedPageBreak/>
        <w:t>superior quality of servic</w:t>
      </w:r>
      <w:r>
        <w:rPr>
          <w:rFonts w:ascii="Arial" w:hAnsi="Arial" w:cs="Arial"/>
          <w:sz w:val="22"/>
          <w:lang w:val="en-US"/>
        </w:rPr>
        <w:t>e in keeping with our goal of being a benchmark bank for both corporate and individual clients.”</w:t>
      </w:r>
    </w:p>
    <w:p w:rsidR="006943A3" w:rsidRDefault="006943A3">
      <w:pPr>
        <w:jc w:val="both"/>
        <w:rPr>
          <w:rFonts w:ascii="Arial" w:hAnsi="Arial" w:cs="Arial"/>
          <w:sz w:val="22"/>
          <w:lang w:val="en-US"/>
        </w:rPr>
      </w:pPr>
    </w:p>
    <w:p w:rsidR="006943A3" w:rsidRDefault="008B5DB4">
      <w:pPr>
        <w:jc w:val="both"/>
        <w:rPr>
          <w:rFonts w:ascii="Arial" w:hAnsi="Arial" w:cs="Arial"/>
          <w:b/>
          <w:bCs/>
          <w:sz w:val="22"/>
          <w:lang w:val="en-US"/>
        </w:rPr>
      </w:pPr>
      <w:r>
        <w:rPr>
          <w:rFonts w:ascii="Arial" w:hAnsi="Arial" w:cs="Arial"/>
          <w:b/>
          <w:bCs/>
          <w:sz w:val="22"/>
          <w:lang w:val="en-US"/>
        </w:rPr>
        <w:t>Algerian economy on the go</w:t>
      </w:r>
    </w:p>
    <w:p w:rsidR="006943A3" w:rsidRDefault="008B5DB4">
      <w:pPr>
        <w:jc w:val="both"/>
        <w:rPr>
          <w:rFonts w:ascii="Arial" w:hAnsi="Arial" w:cs="Arial"/>
          <w:sz w:val="22"/>
          <w:lang w:val="en-US"/>
        </w:rPr>
      </w:pPr>
      <w:r>
        <w:rPr>
          <w:rFonts w:ascii="Arial" w:hAnsi="Arial" w:cs="Arial"/>
          <w:sz w:val="22"/>
          <w:lang w:val="en-US"/>
        </w:rPr>
        <w:t>BNP Paribas Turkey Desk in Algeria Officer-in-charge Ali Aras briefed Turkish businessmen on Algerian economy. Pointing out that th</w:t>
      </w:r>
      <w:r>
        <w:rPr>
          <w:rFonts w:ascii="Arial" w:hAnsi="Arial" w:cs="Arial"/>
          <w:sz w:val="22"/>
          <w:lang w:val="en-US"/>
        </w:rPr>
        <w:t>e government was engaged in efforts to expand privatization, deregulate prices, restructure government agencies, and attract foreign capital to Algeria that is working its way through a transition from a planned economy to a free economy, Aras said the Alg</w:t>
      </w:r>
      <w:r>
        <w:rPr>
          <w:rFonts w:ascii="Arial" w:hAnsi="Arial" w:cs="Arial"/>
          <w:sz w:val="22"/>
          <w:lang w:val="en-US"/>
        </w:rPr>
        <w:t xml:space="preserve">erian government had serious plans for investment in the building sector in particular. </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BNP Paribas Turkey Desk in Algeria Officer-in-charge Ali Aras underlined the fact that the Algerian government was looking to realize US$55 million’s worth of buildin</w:t>
      </w:r>
      <w:r>
        <w:rPr>
          <w:rFonts w:ascii="Arial" w:hAnsi="Arial" w:cs="Arial"/>
          <w:sz w:val="22"/>
          <w:lang w:val="en-US"/>
        </w:rPr>
        <w:t>g investment for the period 2005-2009 and predicted that investments were expected to increase especially in housing, telecommunications, energy, motorways, and water.</w:t>
      </w:r>
    </w:p>
    <w:p w:rsidR="006943A3" w:rsidRDefault="006943A3">
      <w:pPr>
        <w:jc w:val="both"/>
        <w:rPr>
          <w:rFonts w:ascii="Arial" w:hAnsi="Arial" w:cs="Arial"/>
          <w:b/>
          <w:bCs/>
          <w:sz w:val="22"/>
          <w:lang w:val="en-US"/>
        </w:rPr>
      </w:pPr>
    </w:p>
    <w:p w:rsidR="006943A3" w:rsidRDefault="008B5DB4">
      <w:pPr>
        <w:jc w:val="both"/>
        <w:rPr>
          <w:rFonts w:ascii="Arial" w:hAnsi="Arial" w:cs="Arial"/>
          <w:sz w:val="22"/>
          <w:lang w:val="en-US"/>
        </w:rPr>
      </w:pPr>
      <w:r>
        <w:rPr>
          <w:rFonts w:ascii="Arial" w:hAnsi="Arial" w:cs="Arial"/>
          <w:b/>
          <w:bCs/>
          <w:sz w:val="22"/>
          <w:lang w:val="en-US"/>
        </w:rPr>
        <w:t>Turkish-language support in Algeria</w:t>
      </w:r>
      <w:r>
        <w:rPr>
          <w:rFonts w:ascii="Arial" w:hAnsi="Arial" w:cs="Arial"/>
          <w:sz w:val="22"/>
          <w:lang w:val="en-US"/>
        </w:rPr>
        <w:t xml:space="preserve"> </w:t>
      </w:r>
    </w:p>
    <w:p w:rsidR="006943A3" w:rsidRDefault="008B5DB4">
      <w:pPr>
        <w:jc w:val="both"/>
        <w:rPr>
          <w:rFonts w:ascii="Arial" w:hAnsi="Arial" w:cs="Arial"/>
          <w:sz w:val="22"/>
          <w:lang w:val="en-US"/>
        </w:rPr>
      </w:pPr>
      <w:r>
        <w:rPr>
          <w:rFonts w:ascii="Arial" w:hAnsi="Arial" w:cs="Arial"/>
          <w:sz w:val="22"/>
          <w:lang w:val="en-US"/>
        </w:rPr>
        <w:t>Turkish firms resident in Algeria currently number</w:t>
      </w:r>
      <w:r>
        <w:rPr>
          <w:rFonts w:ascii="Arial" w:hAnsi="Arial" w:cs="Arial"/>
          <w:sz w:val="22"/>
          <w:lang w:val="en-US"/>
        </w:rPr>
        <w:t xml:space="preserve"> 120. The Turkey Desk in Algeria, knowledgeable in the Algerian economy as well as import, export, and foreign trade practices in Algeria, facilitates the work of Turkish businessmen doing business in that country with the services it provides in the Turki</w:t>
      </w:r>
      <w:r>
        <w:rPr>
          <w:rFonts w:ascii="Arial" w:hAnsi="Arial" w:cs="Arial"/>
          <w:sz w:val="22"/>
          <w:lang w:val="en-US"/>
        </w:rPr>
        <w:t>sh language.</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With TEB and BNP Paribas having become partners, the Algerian banks that formerly declined direct guarantees by Turkish banks and sought the guarantee of a first-rate European bank, now honor all letters of guarantee going from TEB to BNP Par</w:t>
      </w:r>
      <w:r>
        <w:rPr>
          <w:rFonts w:ascii="Arial" w:hAnsi="Arial" w:cs="Arial"/>
          <w:sz w:val="22"/>
          <w:lang w:val="en-US"/>
        </w:rPr>
        <w:t>ibas Algeria and do not bother to seek a third bank. The Turkey Desk set up in Algeria cuts down even further on the long waits for transfer that are often a problem for Turkish firms where imports from Algeria are concerned as well as the time spent for t</w:t>
      </w:r>
      <w:r>
        <w:rPr>
          <w:rFonts w:ascii="Arial" w:hAnsi="Arial" w:cs="Arial"/>
          <w:sz w:val="22"/>
          <w:lang w:val="en-US"/>
        </w:rPr>
        <w:t>he localization of imported goods under Algerian laws.</w:t>
      </w:r>
    </w:p>
    <w:p w:rsidR="006943A3" w:rsidRDefault="006943A3">
      <w:pPr>
        <w:jc w:val="both"/>
        <w:rPr>
          <w:rFonts w:ascii="Arial" w:hAnsi="Arial" w:cs="Arial"/>
          <w:b/>
          <w:bCs/>
          <w:sz w:val="22"/>
          <w:lang w:val="en-US"/>
        </w:rPr>
      </w:pPr>
    </w:p>
    <w:p w:rsidR="006943A3" w:rsidRDefault="008B5DB4">
      <w:pPr>
        <w:jc w:val="both"/>
        <w:rPr>
          <w:rFonts w:ascii="Arial" w:hAnsi="Arial" w:cs="Arial"/>
          <w:b/>
          <w:bCs/>
          <w:sz w:val="22"/>
          <w:lang w:val="en-US"/>
        </w:rPr>
      </w:pPr>
      <w:r>
        <w:rPr>
          <w:rFonts w:ascii="Arial" w:hAnsi="Arial" w:cs="Arial"/>
          <w:b/>
          <w:bCs/>
          <w:sz w:val="22"/>
          <w:lang w:val="en-US"/>
        </w:rPr>
        <w:t>Global opening up for TEB clients</w:t>
      </w:r>
    </w:p>
    <w:p w:rsidR="006943A3" w:rsidRDefault="008B5DB4">
      <w:pPr>
        <w:jc w:val="both"/>
        <w:rPr>
          <w:rFonts w:ascii="Arial" w:hAnsi="Arial" w:cs="Arial"/>
          <w:sz w:val="22"/>
          <w:lang w:val="en-US"/>
        </w:rPr>
      </w:pPr>
      <w:r>
        <w:rPr>
          <w:rFonts w:ascii="Arial" w:hAnsi="Arial" w:cs="Arial"/>
          <w:sz w:val="22"/>
          <w:lang w:val="en-US"/>
        </w:rPr>
        <w:t>Entering into partnership in February this year with BNP Paribas, the seventh largest bank in the world and the largest in the Euro zone, TEB has broadened its portfo</w:t>
      </w:r>
      <w:r>
        <w:rPr>
          <w:rFonts w:ascii="Arial" w:hAnsi="Arial" w:cs="Arial"/>
          <w:sz w:val="22"/>
          <w:lang w:val="en-US"/>
        </w:rPr>
        <w:t>lio of products and services after the union, activating in Turkey the Trade Centers that provide consultancy in foreign trade as the initial outcome of the partnership. With Trade Center offices now operating in İstanbul and İzmir, TEB plans to open its t</w:t>
      </w:r>
      <w:r>
        <w:rPr>
          <w:rFonts w:ascii="Arial" w:hAnsi="Arial" w:cs="Arial"/>
          <w:sz w:val="22"/>
          <w:lang w:val="en-US"/>
        </w:rPr>
        <w:t xml:space="preserve">hird Trade Center office in Adana in November. </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TEB also began to set up Turkey desks in countries where Turkish entrepreneurs operate extensively and where BNP Paribas has a marked presence. Taking the first step at BNP Paribas Algeria, TEB has been prov</w:t>
      </w:r>
      <w:r>
        <w:rPr>
          <w:rFonts w:ascii="Arial" w:hAnsi="Arial" w:cs="Arial"/>
          <w:sz w:val="22"/>
          <w:lang w:val="en-US"/>
        </w:rPr>
        <w:t>iding foreign trade support and banking services since June 2005 to Turkish businessmen investing in Algeria.</w:t>
      </w:r>
    </w:p>
    <w:p w:rsidR="006943A3" w:rsidRDefault="006943A3">
      <w:pPr>
        <w:jc w:val="both"/>
        <w:rPr>
          <w:rFonts w:ascii="Arial" w:hAnsi="Arial" w:cs="Arial"/>
          <w:sz w:val="22"/>
          <w:lang w:val="en-US"/>
        </w:rPr>
      </w:pPr>
    </w:p>
    <w:p w:rsidR="006943A3" w:rsidRDefault="008B5DB4">
      <w:pPr>
        <w:jc w:val="both"/>
        <w:rPr>
          <w:rFonts w:ascii="Arial" w:hAnsi="Arial" w:cs="Arial"/>
          <w:sz w:val="22"/>
          <w:lang w:val="en-US"/>
        </w:rPr>
      </w:pPr>
      <w:r>
        <w:rPr>
          <w:rFonts w:ascii="Arial" w:hAnsi="Arial" w:cs="Arial"/>
          <w:sz w:val="22"/>
          <w:lang w:val="en-US"/>
        </w:rPr>
        <w:t>The Trade Centers BNP Paribas runs at nearly 80 points in 48 countries offer consultation services in the regulations and practices of the host c</w:t>
      </w:r>
      <w:r>
        <w:rPr>
          <w:rFonts w:ascii="Arial" w:hAnsi="Arial" w:cs="Arial"/>
          <w:sz w:val="22"/>
          <w:lang w:val="en-US"/>
        </w:rPr>
        <w:t>ountries to companies in search of consultancy and banking support in foreign trade, meeting also the global trade financing requirements of their clients with their expert staff dedicated to foreign trade matters.</w:t>
      </w:r>
    </w:p>
    <w:p w:rsidR="006943A3" w:rsidRDefault="006943A3">
      <w:pPr>
        <w:jc w:val="both"/>
        <w:rPr>
          <w:rFonts w:ascii="Arial" w:hAnsi="Arial" w:cs="Arial"/>
          <w:sz w:val="22"/>
          <w:lang w:val="en-US"/>
        </w:rPr>
      </w:pPr>
    </w:p>
    <w:p w:rsidR="006943A3" w:rsidRDefault="006943A3">
      <w:pPr>
        <w:pStyle w:val="BodyText3"/>
        <w:jc w:val="left"/>
        <w:rPr>
          <w:b/>
          <w:bCs/>
          <w:sz w:val="20"/>
          <w:lang w:val="en-US"/>
        </w:rPr>
      </w:pPr>
    </w:p>
    <w:p w:rsidR="006943A3" w:rsidRDefault="006943A3">
      <w:pPr>
        <w:pStyle w:val="BodyText3"/>
        <w:jc w:val="left"/>
        <w:rPr>
          <w:b/>
          <w:bCs/>
          <w:sz w:val="20"/>
          <w:lang w:val="en-US"/>
        </w:rPr>
      </w:pPr>
    </w:p>
    <w:p w:rsidR="006943A3" w:rsidRDefault="008B5DB4">
      <w:pPr>
        <w:pStyle w:val="BodyText3"/>
        <w:jc w:val="left"/>
        <w:rPr>
          <w:b/>
          <w:bCs/>
          <w:sz w:val="20"/>
          <w:lang w:val="en-US"/>
        </w:rPr>
      </w:pPr>
      <w:r>
        <w:rPr>
          <w:b/>
          <w:bCs/>
          <w:sz w:val="20"/>
          <w:lang w:val="en-US"/>
        </w:rPr>
        <w:t>For information:</w:t>
      </w:r>
    </w:p>
    <w:p w:rsidR="006943A3" w:rsidRDefault="008B5DB4">
      <w:pPr>
        <w:pStyle w:val="BodyText"/>
        <w:jc w:val="left"/>
        <w:rPr>
          <w:color w:val="auto"/>
          <w:sz w:val="20"/>
          <w:lang w:val="en-US"/>
        </w:rPr>
      </w:pPr>
      <w:r>
        <w:rPr>
          <w:color w:val="auto"/>
          <w:sz w:val="20"/>
          <w:lang w:val="en-US"/>
        </w:rPr>
        <w:t>Global Tanıtım / (021</w:t>
      </w:r>
      <w:r>
        <w:rPr>
          <w:color w:val="auto"/>
          <w:sz w:val="20"/>
          <w:lang w:val="en-US"/>
        </w:rPr>
        <w:t>2) 270 52 32</w:t>
      </w:r>
    </w:p>
    <w:p w:rsidR="006943A3" w:rsidRDefault="008B5DB4">
      <w:pPr>
        <w:pStyle w:val="BodyText"/>
        <w:jc w:val="left"/>
        <w:rPr>
          <w:color w:val="auto"/>
          <w:sz w:val="20"/>
          <w:lang w:val="en-US"/>
        </w:rPr>
      </w:pPr>
      <w:r>
        <w:rPr>
          <w:color w:val="auto"/>
          <w:sz w:val="20"/>
          <w:lang w:val="en-US"/>
        </w:rPr>
        <w:t xml:space="preserve">Altan Erüs / </w:t>
      </w:r>
      <w:r>
        <w:rPr>
          <w:color w:val="auto"/>
          <w:sz w:val="20"/>
          <w:szCs w:val="24"/>
          <w:lang w:val="en-US"/>
        </w:rPr>
        <w:t>altan.erus@globaltanitim.com</w:t>
      </w:r>
    </w:p>
    <w:p w:rsidR="006943A3" w:rsidRDefault="008B5DB4">
      <w:pPr>
        <w:pStyle w:val="BodyText"/>
        <w:jc w:val="left"/>
        <w:rPr>
          <w:sz w:val="20"/>
          <w:lang w:val="en-US"/>
        </w:rPr>
      </w:pPr>
      <w:r>
        <w:rPr>
          <w:sz w:val="20"/>
          <w:lang w:val="en-US"/>
        </w:rPr>
        <w:t xml:space="preserve">Birgül Taşdemir / </w:t>
      </w:r>
      <w:r>
        <w:rPr>
          <w:sz w:val="20"/>
          <w:szCs w:val="24"/>
          <w:lang w:val="en-US"/>
        </w:rPr>
        <w:t>birgul.tasdemir@globaltanitim.com</w:t>
      </w:r>
    </w:p>
    <w:sectPr w:rsidR="006943A3">
      <w:pgSz w:w="11906" w:h="16838"/>
      <w:pgMar w:top="170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AA6"/>
    <w:multiLevelType w:val="hybridMultilevel"/>
    <w:tmpl w:val="F3186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CF54C2"/>
    <w:multiLevelType w:val="hybridMultilevel"/>
    <w:tmpl w:val="154A12EC"/>
    <w:lvl w:ilvl="0" w:tplc="BF780856">
      <w:numFmt w:val="bullet"/>
      <w:lvlText w:val="-"/>
      <w:lvlJc w:val="left"/>
      <w:pPr>
        <w:tabs>
          <w:tab w:val="num" w:pos="720"/>
        </w:tabs>
        <w:ind w:left="720" w:hanging="360"/>
      </w:pPr>
      <w:rPr>
        <w:rFonts w:ascii="Times New Roman" w:eastAsia="Times New Roman" w:hAnsi="Times New Roman" w:cs="Times New Roman" w:hint="default"/>
      </w:rPr>
    </w:lvl>
    <w:lvl w:ilvl="1" w:tplc="C19E58A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8A1CFD"/>
    <w:multiLevelType w:val="hybridMultilevel"/>
    <w:tmpl w:val="B1D0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3F26142"/>
    <w:multiLevelType w:val="hybridMultilevel"/>
    <w:tmpl w:val="F3F0F08E"/>
    <w:lvl w:ilvl="0" w:tplc="14149662">
      <w:start w:val="1"/>
      <w:numFmt w:val="bullet"/>
      <w:lvlText w:val=""/>
      <w:lvlJc w:val="left"/>
      <w:pPr>
        <w:tabs>
          <w:tab w:val="num" w:pos="720"/>
        </w:tabs>
        <w:ind w:left="720" w:hanging="360"/>
      </w:pPr>
      <w:rPr>
        <w:rFonts w:ascii="Symbol" w:hAnsi="Symbol" w:hint="default"/>
        <w:sz w:val="20"/>
      </w:rPr>
    </w:lvl>
    <w:lvl w:ilvl="1" w:tplc="C8A2AAE0" w:tentative="1">
      <w:start w:val="1"/>
      <w:numFmt w:val="bullet"/>
      <w:lvlText w:val="o"/>
      <w:lvlJc w:val="left"/>
      <w:pPr>
        <w:tabs>
          <w:tab w:val="num" w:pos="1440"/>
        </w:tabs>
        <w:ind w:left="1440" w:hanging="360"/>
      </w:pPr>
      <w:rPr>
        <w:rFonts w:ascii="Courier New" w:hAnsi="Courier New" w:hint="default"/>
        <w:sz w:val="20"/>
      </w:rPr>
    </w:lvl>
    <w:lvl w:ilvl="2" w:tplc="CA0A9636" w:tentative="1">
      <w:start w:val="1"/>
      <w:numFmt w:val="bullet"/>
      <w:lvlText w:val=""/>
      <w:lvlJc w:val="left"/>
      <w:pPr>
        <w:tabs>
          <w:tab w:val="num" w:pos="2160"/>
        </w:tabs>
        <w:ind w:left="2160" w:hanging="360"/>
      </w:pPr>
      <w:rPr>
        <w:rFonts w:ascii="Wingdings" w:hAnsi="Wingdings" w:hint="default"/>
        <w:sz w:val="20"/>
      </w:rPr>
    </w:lvl>
    <w:lvl w:ilvl="3" w:tplc="2CF29F3E" w:tentative="1">
      <w:start w:val="1"/>
      <w:numFmt w:val="bullet"/>
      <w:lvlText w:val=""/>
      <w:lvlJc w:val="left"/>
      <w:pPr>
        <w:tabs>
          <w:tab w:val="num" w:pos="2880"/>
        </w:tabs>
        <w:ind w:left="2880" w:hanging="360"/>
      </w:pPr>
      <w:rPr>
        <w:rFonts w:ascii="Wingdings" w:hAnsi="Wingdings" w:hint="default"/>
        <w:sz w:val="20"/>
      </w:rPr>
    </w:lvl>
    <w:lvl w:ilvl="4" w:tplc="BA6E8644" w:tentative="1">
      <w:start w:val="1"/>
      <w:numFmt w:val="bullet"/>
      <w:lvlText w:val=""/>
      <w:lvlJc w:val="left"/>
      <w:pPr>
        <w:tabs>
          <w:tab w:val="num" w:pos="3600"/>
        </w:tabs>
        <w:ind w:left="3600" w:hanging="360"/>
      </w:pPr>
      <w:rPr>
        <w:rFonts w:ascii="Wingdings" w:hAnsi="Wingdings" w:hint="default"/>
        <w:sz w:val="20"/>
      </w:rPr>
    </w:lvl>
    <w:lvl w:ilvl="5" w:tplc="3E103CCC" w:tentative="1">
      <w:start w:val="1"/>
      <w:numFmt w:val="bullet"/>
      <w:lvlText w:val=""/>
      <w:lvlJc w:val="left"/>
      <w:pPr>
        <w:tabs>
          <w:tab w:val="num" w:pos="4320"/>
        </w:tabs>
        <w:ind w:left="4320" w:hanging="360"/>
      </w:pPr>
      <w:rPr>
        <w:rFonts w:ascii="Wingdings" w:hAnsi="Wingdings" w:hint="default"/>
        <w:sz w:val="20"/>
      </w:rPr>
    </w:lvl>
    <w:lvl w:ilvl="6" w:tplc="B308D166" w:tentative="1">
      <w:start w:val="1"/>
      <w:numFmt w:val="bullet"/>
      <w:lvlText w:val=""/>
      <w:lvlJc w:val="left"/>
      <w:pPr>
        <w:tabs>
          <w:tab w:val="num" w:pos="5040"/>
        </w:tabs>
        <w:ind w:left="5040" w:hanging="360"/>
      </w:pPr>
      <w:rPr>
        <w:rFonts w:ascii="Wingdings" w:hAnsi="Wingdings" w:hint="default"/>
        <w:sz w:val="20"/>
      </w:rPr>
    </w:lvl>
    <w:lvl w:ilvl="7" w:tplc="DEE0BC12" w:tentative="1">
      <w:start w:val="1"/>
      <w:numFmt w:val="bullet"/>
      <w:lvlText w:val=""/>
      <w:lvlJc w:val="left"/>
      <w:pPr>
        <w:tabs>
          <w:tab w:val="num" w:pos="5760"/>
        </w:tabs>
        <w:ind w:left="5760" w:hanging="360"/>
      </w:pPr>
      <w:rPr>
        <w:rFonts w:ascii="Wingdings" w:hAnsi="Wingdings" w:hint="default"/>
        <w:sz w:val="20"/>
      </w:rPr>
    </w:lvl>
    <w:lvl w:ilvl="8" w:tplc="910CFDD2" w:tentative="1">
      <w:start w:val="1"/>
      <w:numFmt w:val="bullet"/>
      <w:lvlText w:val=""/>
      <w:lvlJc w:val="left"/>
      <w:pPr>
        <w:tabs>
          <w:tab w:val="num" w:pos="6480"/>
        </w:tabs>
        <w:ind w:left="6480" w:hanging="360"/>
      </w:pPr>
      <w:rPr>
        <w:rFonts w:ascii="Wingdings" w:hAnsi="Wingdings" w:hint="default"/>
        <w:sz w:val="20"/>
      </w:rPr>
    </w:lvl>
  </w:abstractNum>
  <w:abstractNum w:abstractNumId="4">
    <w:nsid w:val="73195084"/>
    <w:multiLevelType w:val="hybridMultilevel"/>
    <w:tmpl w:val="18B07372"/>
    <w:lvl w:ilvl="0" w:tplc="041F000F">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882"/>
    <w:rsid w:val="006943A3"/>
    <w:rsid w:val="00836882"/>
    <w:rsid w:val="008B5D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paragraph" w:styleId="Heading8">
    <w:name w:val="heading 8"/>
    <w:basedOn w:val="Normal"/>
    <w:next w:val="Normal"/>
    <w:qFormat/>
    <w:pPr>
      <w:keepNext/>
      <w:jc w:val="both"/>
      <w:outlineLvl w:val="7"/>
    </w:pPr>
    <w:rPr>
      <w:rFonts w:ascii="Arial" w:hAnsi="Arial" w:cs="Arial"/>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paragraph" w:styleId="Heading8">
    <w:name w:val="heading 8"/>
    <w:basedOn w:val="Normal"/>
    <w:next w:val="Normal"/>
    <w:qFormat/>
    <w:pPr>
      <w:keepNext/>
      <w:jc w:val="both"/>
      <w:outlineLvl w:val="7"/>
    </w:pPr>
    <w:rPr>
      <w:rFonts w:ascii="Arial" w:hAnsi="Arial" w:cs="Arial"/>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856</Words>
  <Characters>4882</Characters>
  <Application>Microsoft Office Word</Application>
  <DocSecurity>4</DocSecurity>
  <Lines>40</Lines>
  <Paragraphs>11</Paragraphs>
  <ScaleCrop>false</ScaleCrop>
  <Company>BNP Paribas</Company>
  <LinksUpToDate>false</LinksUpToDate>
  <CharactersWithSpaces>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