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F7E" w:rsidRDefault="00F03B33">
      <w:pPr>
        <w:pStyle w:val="Heading1"/>
        <w:jc w:val="right"/>
        <w:rPr>
          <w:sz w:val="22"/>
          <w:lang w:val="en-US"/>
        </w:rPr>
      </w:pPr>
      <w:bookmarkStart w:id="0" w:name="_GoBack"/>
      <w:bookmarkEnd w:id="0"/>
      <w:r>
        <w:rPr>
          <w:sz w:val="22"/>
          <w:lang w:val="en-US"/>
        </w:rPr>
        <w:t>Friday, 14 October 2005</w:t>
      </w:r>
    </w:p>
    <w:p w:rsidR="00667F7E" w:rsidRDefault="00667F7E">
      <w:pPr>
        <w:pStyle w:val="BodyText2"/>
        <w:jc w:val="both"/>
        <w:rPr>
          <w:b w:val="0"/>
          <w:bCs w:val="0"/>
          <w:sz w:val="20"/>
          <w:lang w:val="en-US"/>
        </w:rPr>
      </w:pPr>
    </w:p>
    <w:p w:rsidR="00667F7E" w:rsidRDefault="00F03B33">
      <w:pPr>
        <w:pStyle w:val="BodyText2"/>
        <w:rPr>
          <w:lang w:val="en-US"/>
        </w:rPr>
      </w:pPr>
      <w:r>
        <w:rPr>
          <w:lang w:val="en-US"/>
        </w:rPr>
        <w:t>TEB will be by your side as you do business in Algeria</w:t>
      </w:r>
    </w:p>
    <w:p w:rsidR="00667F7E" w:rsidRDefault="00667F7E">
      <w:pPr>
        <w:pStyle w:val="BodyText2"/>
        <w:rPr>
          <w:sz w:val="24"/>
          <w:lang w:val="en-US"/>
        </w:rPr>
      </w:pPr>
    </w:p>
    <w:p w:rsidR="00667F7E" w:rsidRDefault="00F03B33">
      <w:pPr>
        <w:pStyle w:val="BodyText3"/>
        <w:rPr>
          <w:b/>
          <w:bCs/>
          <w:lang w:val="en-US"/>
        </w:rPr>
      </w:pPr>
      <w:r>
        <w:rPr>
          <w:b/>
          <w:bCs/>
          <w:lang w:val="en-US"/>
        </w:rPr>
        <w:t xml:space="preserve">In a seminar to be held on 14 October 2005, the Türk Ekonomi Bank (TEB) will explain how you can take your business to Algeria, the rising star of Africa. </w:t>
      </w:r>
    </w:p>
    <w:p w:rsidR="00667F7E" w:rsidRDefault="00667F7E">
      <w:pPr>
        <w:pStyle w:val="BodyText3"/>
        <w:jc w:val="left"/>
        <w:rPr>
          <w:b/>
          <w:bCs/>
          <w:lang w:val="en-US"/>
        </w:rPr>
      </w:pPr>
    </w:p>
    <w:p w:rsidR="00667F7E" w:rsidRDefault="00F03B33">
      <w:pPr>
        <w:pStyle w:val="BodyText3"/>
        <w:spacing w:after="120"/>
        <w:jc w:val="both"/>
        <w:rPr>
          <w:sz w:val="24"/>
          <w:lang w:val="en-US"/>
        </w:rPr>
      </w:pPr>
      <w:r>
        <w:rPr>
          <w:sz w:val="24"/>
          <w:lang w:val="en-US"/>
        </w:rPr>
        <w:t xml:space="preserve">The TEB Trade </w:t>
      </w:r>
      <w:r>
        <w:rPr>
          <w:sz w:val="24"/>
          <w:lang w:val="en-US"/>
        </w:rPr>
        <w:t>Centers established in Turkey by the Türk Ekonomi Bank (TEB) and BNP Paribas partnership that provide support in foreign trade financing are starting their foreign trade development conferences with a seminar on “How To Do Business In Algeria.”</w:t>
      </w:r>
    </w:p>
    <w:p w:rsidR="00667F7E" w:rsidRDefault="00F03B33">
      <w:pPr>
        <w:pStyle w:val="BodyText3"/>
        <w:spacing w:after="120"/>
        <w:jc w:val="both"/>
        <w:rPr>
          <w:sz w:val="22"/>
          <w:lang w:val="en-US"/>
        </w:rPr>
      </w:pPr>
      <w:r>
        <w:rPr>
          <w:sz w:val="24"/>
          <w:lang w:val="en-US"/>
        </w:rPr>
        <w:t>The busines</w:t>
      </w:r>
      <w:r>
        <w:rPr>
          <w:sz w:val="24"/>
          <w:lang w:val="en-US"/>
        </w:rPr>
        <w:t>s opportunities in Algeria, the procedures Turkish firms seeking to do business in Algeria need to follow, and the services the Turkey Desk in Algeria will offer companies will be addressed in the seminar that will be attended by BNP Paribas General Manage</w:t>
      </w:r>
      <w:r>
        <w:rPr>
          <w:sz w:val="24"/>
          <w:lang w:val="en-US"/>
        </w:rPr>
        <w:t>r for Algeria François-Edouard Drion, TEB Finance Organizations Deputy General Manager Levent Çelebioğlu, and BNP Paribas Turkey Desk in Algeria Officer-in-charge Ali Aras.</w:t>
      </w:r>
    </w:p>
    <w:p w:rsidR="00667F7E" w:rsidRDefault="00F03B33">
      <w:pPr>
        <w:pStyle w:val="BodyText3"/>
        <w:spacing w:after="120"/>
        <w:jc w:val="both"/>
        <w:rPr>
          <w:sz w:val="24"/>
          <w:lang w:val="en-US"/>
        </w:rPr>
      </w:pPr>
      <w:r>
        <w:rPr>
          <w:sz w:val="24"/>
          <w:lang w:val="en-US"/>
        </w:rPr>
        <w:t>The seminar will be held between 09:00 and 12:00 hours on Friday, 14 October 2005 i</w:t>
      </w:r>
      <w:r>
        <w:rPr>
          <w:sz w:val="24"/>
          <w:lang w:val="en-US"/>
        </w:rPr>
        <w:t>n the Swissôtel Neuchatel Room and will be open to the public.</w:t>
      </w:r>
    </w:p>
    <w:p w:rsidR="00667F7E" w:rsidRDefault="00F03B33">
      <w:pPr>
        <w:pStyle w:val="BodyText3"/>
        <w:spacing w:after="120"/>
        <w:jc w:val="both"/>
        <w:rPr>
          <w:b/>
          <w:bCs/>
          <w:sz w:val="24"/>
          <w:lang w:val="en-US"/>
        </w:rPr>
      </w:pPr>
      <w:r>
        <w:rPr>
          <w:b/>
          <w:bCs/>
          <w:sz w:val="24"/>
          <w:lang w:val="en-US"/>
        </w:rPr>
        <w:t xml:space="preserve">Turkish-language support in Algeria </w:t>
      </w:r>
    </w:p>
    <w:p w:rsidR="00667F7E" w:rsidRDefault="00F03B33">
      <w:pPr>
        <w:pStyle w:val="BodyText3"/>
        <w:spacing w:after="120"/>
        <w:jc w:val="both"/>
        <w:rPr>
          <w:sz w:val="24"/>
          <w:lang w:val="en-US"/>
        </w:rPr>
      </w:pPr>
      <w:r>
        <w:rPr>
          <w:sz w:val="24"/>
          <w:lang w:val="en-US"/>
        </w:rPr>
        <w:t>A Turkey Desk has been set up in the Algeria Office of BNP Paribas under the TEB - BNP Paribas partnership to provide foreign trade support and banking serv</w:t>
      </w:r>
      <w:r>
        <w:rPr>
          <w:sz w:val="24"/>
          <w:lang w:val="en-US"/>
        </w:rPr>
        <w:t>ices to Turkish businessmen investing in Algeria.</w:t>
      </w:r>
    </w:p>
    <w:p w:rsidR="00667F7E" w:rsidRDefault="00F03B33">
      <w:pPr>
        <w:pStyle w:val="BodyText3"/>
        <w:spacing w:after="120"/>
        <w:jc w:val="both"/>
        <w:rPr>
          <w:sz w:val="24"/>
          <w:lang w:val="en-US"/>
        </w:rPr>
      </w:pPr>
      <w:r>
        <w:rPr>
          <w:sz w:val="24"/>
          <w:lang w:val="en-US"/>
        </w:rPr>
        <w:t>The Turkey Desk in Algeria, knowledgeable in the Algerian economy as well as import, export, and foreign trade practices in Algeria, facilitates the work of Turkish businessmen doing business in that countr</w:t>
      </w:r>
      <w:r>
        <w:rPr>
          <w:sz w:val="24"/>
          <w:lang w:val="en-US"/>
        </w:rPr>
        <w:t>y with the services it provides in the Turkish language.</w:t>
      </w:r>
    </w:p>
    <w:p w:rsidR="00667F7E" w:rsidRDefault="00F03B33">
      <w:pPr>
        <w:pStyle w:val="BodyText3"/>
        <w:spacing w:after="120"/>
        <w:jc w:val="both"/>
        <w:rPr>
          <w:sz w:val="22"/>
          <w:lang w:val="en-US"/>
        </w:rPr>
      </w:pPr>
      <w:r>
        <w:rPr>
          <w:sz w:val="24"/>
          <w:lang w:val="en-US"/>
        </w:rPr>
        <w:t xml:space="preserve">Following its deal with BNP Paribas, TEB opened its Trade Center offices in İstanbul and İzmir as the first outcome of the partnership. The third Trade Center in Turkey is scheduled to open in Adana </w:t>
      </w:r>
      <w:r>
        <w:rPr>
          <w:sz w:val="24"/>
          <w:lang w:val="en-US"/>
        </w:rPr>
        <w:t>in October. The Trade Centers BNP Paribas runs at more than 75 points in 48 countries meet the global trade financing requirements of their clients and offer consultancy services in foreign trade with their expert staff dedicated to foreign trade matters.</w:t>
      </w:r>
    </w:p>
    <w:p w:rsidR="00667F7E" w:rsidRDefault="00667F7E">
      <w:pPr>
        <w:jc w:val="both"/>
        <w:rPr>
          <w:rFonts w:ascii="Arial" w:hAnsi="Arial" w:cs="Arial"/>
          <w:sz w:val="22"/>
          <w:lang w:val="en-US"/>
        </w:rPr>
      </w:pPr>
    </w:p>
    <w:p w:rsidR="00667F7E" w:rsidRDefault="00F03B33">
      <w:pPr>
        <w:pStyle w:val="BodyText"/>
        <w:rPr>
          <w:b/>
          <w:bCs/>
          <w:color w:val="auto"/>
          <w:sz w:val="22"/>
          <w:lang w:val="en-US"/>
        </w:rPr>
      </w:pPr>
      <w:r>
        <w:rPr>
          <w:b/>
          <w:bCs/>
          <w:color w:val="auto"/>
          <w:sz w:val="22"/>
          <w:lang w:val="en-US"/>
        </w:rPr>
        <w:t>For information:</w:t>
      </w:r>
    </w:p>
    <w:p w:rsidR="00667F7E" w:rsidRDefault="00F03B33">
      <w:pPr>
        <w:pStyle w:val="BodyText"/>
        <w:rPr>
          <w:color w:val="auto"/>
          <w:sz w:val="22"/>
          <w:lang w:val="en-US"/>
        </w:rPr>
      </w:pPr>
      <w:r>
        <w:rPr>
          <w:color w:val="auto"/>
          <w:sz w:val="22"/>
          <w:lang w:val="en-US"/>
        </w:rPr>
        <w:t>Global Tanıtım / (0212) 270 52 32</w:t>
      </w:r>
    </w:p>
    <w:p w:rsidR="00667F7E" w:rsidRDefault="00F03B33">
      <w:pPr>
        <w:pStyle w:val="BodyText"/>
        <w:rPr>
          <w:color w:val="auto"/>
          <w:sz w:val="22"/>
          <w:lang w:val="en-US"/>
        </w:rPr>
      </w:pPr>
      <w:r>
        <w:rPr>
          <w:color w:val="auto"/>
          <w:sz w:val="22"/>
          <w:lang w:val="en-US"/>
        </w:rPr>
        <w:t xml:space="preserve">Altan Erüs / </w:t>
      </w:r>
      <w:r>
        <w:rPr>
          <w:color w:val="auto"/>
          <w:sz w:val="22"/>
          <w:szCs w:val="24"/>
          <w:lang w:val="en-US"/>
        </w:rPr>
        <w:t>altan.erus@globaltanitim.com</w:t>
      </w:r>
    </w:p>
    <w:p w:rsidR="00667F7E" w:rsidRDefault="00F03B33">
      <w:pPr>
        <w:pStyle w:val="BodyText"/>
        <w:rPr>
          <w:color w:val="auto"/>
          <w:sz w:val="22"/>
          <w:lang w:val="en-US"/>
        </w:rPr>
      </w:pPr>
      <w:r>
        <w:rPr>
          <w:color w:val="auto"/>
          <w:sz w:val="22"/>
          <w:lang w:val="en-US"/>
        </w:rPr>
        <w:t xml:space="preserve">Birgül Taşdemir / </w:t>
      </w:r>
      <w:r>
        <w:rPr>
          <w:color w:val="auto"/>
          <w:sz w:val="22"/>
          <w:szCs w:val="24"/>
          <w:lang w:val="en-US"/>
        </w:rPr>
        <w:t>birgul.tasdemir@globaltanitim.com</w:t>
      </w:r>
      <w:r>
        <w:rPr>
          <w:color w:val="auto"/>
          <w:sz w:val="22"/>
          <w:lang w:val="en-US"/>
        </w:rPr>
        <w:t xml:space="preserve"> </w:t>
      </w:r>
    </w:p>
    <w:sectPr w:rsidR="00667F7E">
      <w:pgSz w:w="11906" w:h="16838"/>
      <w:pgMar w:top="1701" w:right="170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A1AA6"/>
    <w:multiLevelType w:val="hybridMultilevel"/>
    <w:tmpl w:val="F3186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CF54C2"/>
    <w:multiLevelType w:val="hybridMultilevel"/>
    <w:tmpl w:val="154A12EC"/>
    <w:lvl w:ilvl="0" w:tplc="BF780856">
      <w:numFmt w:val="bullet"/>
      <w:lvlText w:val="-"/>
      <w:lvlJc w:val="left"/>
      <w:pPr>
        <w:tabs>
          <w:tab w:val="num" w:pos="720"/>
        </w:tabs>
        <w:ind w:left="720" w:hanging="360"/>
      </w:pPr>
      <w:rPr>
        <w:rFonts w:ascii="Times New Roman" w:eastAsia="Times New Roman" w:hAnsi="Times New Roman" w:cs="Times New Roman" w:hint="default"/>
      </w:rPr>
    </w:lvl>
    <w:lvl w:ilvl="1" w:tplc="C19E58A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8A1CFD"/>
    <w:multiLevelType w:val="hybridMultilevel"/>
    <w:tmpl w:val="B1D006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3F26142"/>
    <w:multiLevelType w:val="hybridMultilevel"/>
    <w:tmpl w:val="F3F0F08E"/>
    <w:lvl w:ilvl="0" w:tplc="14149662">
      <w:start w:val="1"/>
      <w:numFmt w:val="bullet"/>
      <w:lvlText w:val=""/>
      <w:lvlJc w:val="left"/>
      <w:pPr>
        <w:tabs>
          <w:tab w:val="num" w:pos="720"/>
        </w:tabs>
        <w:ind w:left="720" w:hanging="360"/>
      </w:pPr>
      <w:rPr>
        <w:rFonts w:ascii="Symbol" w:hAnsi="Symbol" w:hint="default"/>
        <w:sz w:val="20"/>
      </w:rPr>
    </w:lvl>
    <w:lvl w:ilvl="1" w:tplc="C8A2AAE0" w:tentative="1">
      <w:start w:val="1"/>
      <w:numFmt w:val="bullet"/>
      <w:lvlText w:val="o"/>
      <w:lvlJc w:val="left"/>
      <w:pPr>
        <w:tabs>
          <w:tab w:val="num" w:pos="1440"/>
        </w:tabs>
        <w:ind w:left="1440" w:hanging="360"/>
      </w:pPr>
      <w:rPr>
        <w:rFonts w:ascii="Courier New" w:hAnsi="Courier New" w:hint="default"/>
        <w:sz w:val="20"/>
      </w:rPr>
    </w:lvl>
    <w:lvl w:ilvl="2" w:tplc="CA0A9636" w:tentative="1">
      <w:start w:val="1"/>
      <w:numFmt w:val="bullet"/>
      <w:lvlText w:val=""/>
      <w:lvlJc w:val="left"/>
      <w:pPr>
        <w:tabs>
          <w:tab w:val="num" w:pos="2160"/>
        </w:tabs>
        <w:ind w:left="2160" w:hanging="360"/>
      </w:pPr>
      <w:rPr>
        <w:rFonts w:ascii="Wingdings" w:hAnsi="Wingdings" w:hint="default"/>
        <w:sz w:val="20"/>
      </w:rPr>
    </w:lvl>
    <w:lvl w:ilvl="3" w:tplc="2CF29F3E" w:tentative="1">
      <w:start w:val="1"/>
      <w:numFmt w:val="bullet"/>
      <w:lvlText w:val=""/>
      <w:lvlJc w:val="left"/>
      <w:pPr>
        <w:tabs>
          <w:tab w:val="num" w:pos="2880"/>
        </w:tabs>
        <w:ind w:left="2880" w:hanging="360"/>
      </w:pPr>
      <w:rPr>
        <w:rFonts w:ascii="Wingdings" w:hAnsi="Wingdings" w:hint="default"/>
        <w:sz w:val="20"/>
      </w:rPr>
    </w:lvl>
    <w:lvl w:ilvl="4" w:tplc="BA6E8644" w:tentative="1">
      <w:start w:val="1"/>
      <w:numFmt w:val="bullet"/>
      <w:lvlText w:val=""/>
      <w:lvlJc w:val="left"/>
      <w:pPr>
        <w:tabs>
          <w:tab w:val="num" w:pos="3600"/>
        </w:tabs>
        <w:ind w:left="3600" w:hanging="360"/>
      </w:pPr>
      <w:rPr>
        <w:rFonts w:ascii="Wingdings" w:hAnsi="Wingdings" w:hint="default"/>
        <w:sz w:val="20"/>
      </w:rPr>
    </w:lvl>
    <w:lvl w:ilvl="5" w:tplc="3E103CCC" w:tentative="1">
      <w:start w:val="1"/>
      <w:numFmt w:val="bullet"/>
      <w:lvlText w:val=""/>
      <w:lvlJc w:val="left"/>
      <w:pPr>
        <w:tabs>
          <w:tab w:val="num" w:pos="4320"/>
        </w:tabs>
        <w:ind w:left="4320" w:hanging="360"/>
      </w:pPr>
      <w:rPr>
        <w:rFonts w:ascii="Wingdings" w:hAnsi="Wingdings" w:hint="default"/>
        <w:sz w:val="20"/>
      </w:rPr>
    </w:lvl>
    <w:lvl w:ilvl="6" w:tplc="B308D166" w:tentative="1">
      <w:start w:val="1"/>
      <w:numFmt w:val="bullet"/>
      <w:lvlText w:val=""/>
      <w:lvlJc w:val="left"/>
      <w:pPr>
        <w:tabs>
          <w:tab w:val="num" w:pos="5040"/>
        </w:tabs>
        <w:ind w:left="5040" w:hanging="360"/>
      </w:pPr>
      <w:rPr>
        <w:rFonts w:ascii="Wingdings" w:hAnsi="Wingdings" w:hint="default"/>
        <w:sz w:val="20"/>
      </w:rPr>
    </w:lvl>
    <w:lvl w:ilvl="7" w:tplc="DEE0BC12" w:tentative="1">
      <w:start w:val="1"/>
      <w:numFmt w:val="bullet"/>
      <w:lvlText w:val=""/>
      <w:lvlJc w:val="left"/>
      <w:pPr>
        <w:tabs>
          <w:tab w:val="num" w:pos="5760"/>
        </w:tabs>
        <w:ind w:left="5760" w:hanging="360"/>
      </w:pPr>
      <w:rPr>
        <w:rFonts w:ascii="Wingdings" w:hAnsi="Wingdings" w:hint="default"/>
        <w:sz w:val="20"/>
      </w:rPr>
    </w:lvl>
    <w:lvl w:ilvl="8" w:tplc="910CFDD2" w:tentative="1">
      <w:start w:val="1"/>
      <w:numFmt w:val="bullet"/>
      <w:lvlText w:val=""/>
      <w:lvlJc w:val="left"/>
      <w:pPr>
        <w:tabs>
          <w:tab w:val="num" w:pos="6480"/>
        </w:tabs>
        <w:ind w:left="6480" w:hanging="360"/>
      </w:pPr>
      <w:rPr>
        <w:rFonts w:ascii="Wingdings" w:hAnsi="Wingdings" w:hint="default"/>
        <w:sz w:val="20"/>
      </w:rPr>
    </w:lvl>
  </w:abstractNum>
  <w:abstractNum w:abstractNumId="4">
    <w:nsid w:val="73195084"/>
    <w:multiLevelType w:val="hybridMultilevel"/>
    <w:tmpl w:val="18B07372"/>
    <w:lvl w:ilvl="0" w:tplc="041F000F">
      <w:start w:val="1"/>
      <w:numFmt w:val="decimal"/>
      <w:lvlText w:val="%1."/>
      <w:lvlJc w:val="left"/>
      <w:pPr>
        <w:tabs>
          <w:tab w:val="num" w:pos="720"/>
        </w:tabs>
        <w:ind w:left="720" w:hanging="360"/>
      </w:pPr>
      <w:rPr>
        <w:rFonts w:hint="default"/>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AFC"/>
    <w:rsid w:val="00115AFC"/>
    <w:rsid w:val="00667F7E"/>
    <w:rsid w:val="00F03B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sz w:val="28"/>
    </w:rPr>
  </w:style>
  <w:style w:type="paragraph" w:styleId="Heading2">
    <w:name w:val="heading 2"/>
    <w:basedOn w:val="Normal"/>
    <w:next w:val="Normal"/>
    <w:qFormat/>
    <w:pPr>
      <w:keepNext/>
      <w:jc w:val="both"/>
      <w:outlineLvl w:val="1"/>
    </w:pPr>
    <w:rPr>
      <w:rFonts w:ascii="Arial" w:hAnsi="Arial" w:cs="Arial"/>
      <w:b/>
      <w:bCs/>
    </w:rPr>
  </w:style>
  <w:style w:type="paragraph" w:styleId="Heading3">
    <w:name w:val="heading 3"/>
    <w:basedOn w:val="Normal"/>
    <w:next w:val="Normal"/>
    <w:qFormat/>
    <w:pPr>
      <w:keepNext/>
      <w:jc w:val="center"/>
      <w:outlineLvl w:val="2"/>
    </w:pPr>
    <w:rPr>
      <w:rFonts w:ascii="Arial" w:hAnsi="Arial" w:cs="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rFonts w:ascii="Verdana" w:hAnsi="Verdana" w:hint="default"/>
      <w:color w:val="000000"/>
      <w:sz w:val="15"/>
      <w:szCs w:val="15"/>
      <w:u w:val="single"/>
    </w:rPr>
  </w:style>
  <w:style w:type="paragraph" w:styleId="BodyText">
    <w:name w:val="Body Text"/>
    <w:basedOn w:val="Normal"/>
    <w:semiHidden/>
    <w:pPr>
      <w:jc w:val="both"/>
    </w:pPr>
    <w:rPr>
      <w:rFonts w:ascii="Arial" w:hAnsi="Arial" w:cs="Arial"/>
      <w:color w:val="000000"/>
      <w:szCs w:val="15"/>
    </w:rPr>
  </w:style>
  <w:style w:type="paragraph" w:styleId="BodyText2">
    <w:name w:val="Body Text 2"/>
    <w:basedOn w:val="Normal"/>
    <w:semiHidden/>
    <w:pPr>
      <w:jc w:val="center"/>
    </w:pPr>
    <w:rPr>
      <w:rFonts w:ascii="Arial" w:hAnsi="Arial" w:cs="Arial"/>
      <w:b/>
      <w:bCs/>
      <w:sz w:val="56"/>
    </w:rPr>
  </w:style>
  <w:style w:type="paragraph" w:styleId="BodyText3">
    <w:name w:val="Body Text 3"/>
    <w:basedOn w:val="Normal"/>
    <w:semiHidden/>
    <w:pPr>
      <w:jc w:val="center"/>
    </w:pPr>
    <w:rPr>
      <w:rFonts w:ascii="Arial" w:hAnsi="Arial" w:cs="Arial"/>
      <w:sz w:val="28"/>
    </w:rPr>
  </w:style>
  <w:style w:type="paragraph" w:customStyle="1" w:styleId="contenttext">
    <w:name w:val="content_text"/>
    <w:basedOn w:val="Normal"/>
    <w:pPr>
      <w:spacing w:before="100" w:beforeAutospacing="1" w:after="100" w:afterAutospacing="1"/>
    </w:pPr>
    <w:rPr>
      <w:rFonts w:ascii="Arial" w:eastAsia="Arial Unicode MS" w:hAnsi="Arial" w:cs="Arial"/>
      <w:color w:val="333333"/>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sz w:val="28"/>
    </w:rPr>
  </w:style>
  <w:style w:type="paragraph" w:styleId="Heading2">
    <w:name w:val="heading 2"/>
    <w:basedOn w:val="Normal"/>
    <w:next w:val="Normal"/>
    <w:qFormat/>
    <w:pPr>
      <w:keepNext/>
      <w:jc w:val="both"/>
      <w:outlineLvl w:val="1"/>
    </w:pPr>
    <w:rPr>
      <w:rFonts w:ascii="Arial" w:hAnsi="Arial" w:cs="Arial"/>
      <w:b/>
      <w:bCs/>
    </w:rPr>
  </w:style>
  <w:style w:type="paragraph" w:styleId="Heading3">
    <w:name w:val="heading 3"/>
    <w:basedOn w:val="Normal"/>
    <w:next w:val="Normal"/>
    <w:qFormat/>
    <w:pPr>
      <w:keepNext/>
      <w:jc w:val="center"/>
      <w:outlineLvl w:val="2"/>
    </w:pPr>
    <w:rPr>
      <w:rFonts w:ascii="Arial" w:hAnsi="Arial" w:cs="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rFonts w:ascii="Verdana" w:hAnsi="Verdana" w:hint="default"/>
      <w:color w:val="000000"/>
      <w:sz w:val="15"/>
      <w:szCs w:val="15"/>
      <w:u w:val="single"/>
    </w:rPr>
  </w:style>
  <w:style w:type="paragraph" w:styleId="BodyText">
    <w:name w:val="Body Text"/>
    <w:basedOn w:val="Normal"/>
    <w:semiHidden/>
    <w:pPr>
      <w:jc w:val="both"/>
    </w:pPr>
    <w:rPr>
      <w:rFonts w:ascii="Arial" w:hAnsi="Arial" w:cs="Arial"/>
      <w:color w:val="000000"/>
      <w:szCs w:val="15"/>
    </w:rPr>
  </w:style>
  <w:style w:type="paragraph" w:styleId="BodyText2">
    <w:name w:val="Body Text 2"/>
    <w:basedOn w:val="Normal"/>
    <w:semiHidden/>
    <w:pPr>
      <w:jc w:val="center"/>
    </w:pPr>
    <w:rPr>
      <w:rFonts w:ascii="Arial" w:hAnsi="Arial" w:cs="Arial"/>
      <w:b/>
      <w:bCs/>
      <w:sz w:val="56"/>
    </w:rPr>
  </w:style>
  <w:style w:type="paragraph" w:styleId="BodyText3">
    <w:name w:val="Body Text 3"/>
    <w:basedOn w:val="Normal"/>
    <w:semiHidden/>
    <w:pPr>
      <w:jc w:val="center"/>
    </w:pPr>
    <w:rPr>
      <w:rFonts w:ascii="Arial" w:hAnsi="Arial" w:cs="Arial"/>
      <w:sz w:val="28"/>
    </w:rPr>
  </w:style>
  <w:style w:type="paragraph" w:customStyle="1" w:styleId="contenttext">
    <w:name w:val="content_text"/>
    <w:basedOn w:val="Normal"/>
    <w:pPr>
      <w:spacing w:before="100" w:beforeAutospacing="1" w:after="100" w:afterAutospacing="1"/>
    </w:pPr>
    <w:rPr>
      <w:rFonts w:ascii="Arial" w:eastAsia="Arial Unicode MS" w:hAnsi="Arial" w:cs="Arial"/>
      <w:color w:val="333333"/>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327</Words>
  <Characters>1864</Characters>
  <Application>Microsoft Office Word</Application>
  <DocSecurity>4</DocSecurity>
  <Lines>15</Lines>
  <Paragraphs>4</Paragraphs>
  <ScaleCrop>false</ScaleCrop>
  <Company>BNP Paribas</Company>
  <LinksUpToDate>false</LinksUpToDate>
  <CharactersWithSpaces>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2016-11-28T07:00:00Z</dcterms:created>
  <dcterms:modified xsi:type="dcterms:W3CDTF">2016-11-28T07:00:00Z</dcterms:modified>
</cp:coreProperties>
</file>