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394B" w:rsidRDefault="00F66AC8">
      <w:pPr>
        <w:pStyle w:val="NormalWeb"/>
        <w:rPr>
          <w:rFonts w:ascii="Arial" w:hAnsi="Arial" w:cs="Arial"/>
          <w:sz w:val="28"/>
          <w:lang w:val="en-US"/>
        </w:rPr>
      </w:pPr>
      <w:bookmarkStart w:id="0" w:name="_GoBack"/>
      <w:bookmarkEnd w:id="0"/>
      <w:r>
        <w:rPr>
          <w:rFonts w:ascii="Arial" w:hAnsi="Arial" w:cs="Arial"/>
          <w:noProof/>
          <w:sz w:val="28"/>
        </w:rPr>
        <w:drawing>
          <wp:inline distT="0" distB="0" distL="0" distR="0">
            <wp:extent cx="1165860" cy="542925"/>
            <wp:effectExtent l="0" t="0" r="0" b="9525"/>
            <wp:docPr id="1" name="Picture 1" descr="teb-yeni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b-yeni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65860" cy="542925"/>
                    </a:xfrm>
                    <a:prstGeom prst="rect">
                      <a:avLst/>
                    </a:prstGeom>
                    <a:noFill/>
                    <a:ln>
                      <a:noFill/>
                    </a:ln>
                  </pic:spPr>
                </pic:pic>
              </a:graphicData>
            </a:graphic>
          </wp:inline>
        </w:drawing>
      </w:r>
    </w:p>
    <w:p w:rsidR="006A394B" w:rsidRDefault="006A394B">
      <w:pPr>
        <w:pStyle w:val="Heading1"/>
        <w:rPr>
          <w:rFonts w:ascii="Arial" w:hAnsi="Arial" w:cs="Arial"/>
          <w:sz w:val="28"/>
          <w:lang w:val="en-US"/>
        </w:rPr>
      </w:pPr>
    </w:p>
    <w:p w:rsidR="006A394B" w:rsidRDefault="00F66AC8">
      <w:pPr>
        <w:pStyle w:val="Heading1"/>
        <w:rPr>
          <w:rFonts w:ascii="Arial" w:hAnsi="Arial" w:cs="Arial"/>
          <w:lang w:val="en-US"/>
        </w:rPr>
      </w:pPr>
      <w:r>
        <w:rPr>
          <w:rFonts w:ascii="Arial" w:hAnsi="Arial" w:cs="Arial"/>
          <w:lang w:val="en-US"/>
        </w:rPr>
        <w:t>TEB</w:t>
      </w:r>
      <w:r>
        <w:rPr>
          <w:rFonts w:ascii="Arial" w:hAnsi="Arial" w:cs="Arial"/>
          <w:sz w:val="48"/>
          <w:lang w:val="en-US"/>
        </w:rPr>
        <w:t xml:space="preserve"> drops home loan interest rate to 1.29% </w:t>
      </w:r>
      <w:r>
        <w:rPr>
          <w:rFonts w:ascii="Arial" w:hAnsi="Arial" w:cs="Arial"/>
          <w:lang w:val="en-US"/>
        </w:rPr>
        <w:t xml:space="preserve"> </w:t>
      </w:r>
    </w:p>
    <w:p w:rsidR="006A394B" w:rsidRDefault="006A394B">
      <w:pPr>
        <w:pStyle w:val="NormalWeb"/>
        <w:spacing w:before="0" w:beforeAutospacing="0" w:after="0" w:afterAutospacing="0"/>
        <w:rPr>
          <w:rFonts w:ascii="Arial" w:eastAsia="Times New Roman" w:hAnsi="Arial" w:cs="Arial"/>
          <w:lang w:val="en-US" w:eastAsia="en-US"/>
        </w:rPr>
      </w:pPr>
    </w:p>
    <w:p w:rsidR="006A394B" w:rsidRDefault="006A394B">
      <w:pPr>
        <w:jc w:val="both"/>
        <w:rPr>
          <w:rFonts w:ascii="Arial" w:hAnsi="Arial" w:cs="Arial"/>
        </w:rPr>
      </w:pPr>
    </w:p>
    <w:p w:rsidR="006A394B" w:rsidRDefault="00F66AC8">
      <w:pPr>
        <w:jc w:val="center"/>
        <w:rPr>
          <w:rFonts w:ascii="Arial" w:hAnsi="Arial" w:cs="Arial"/>
        </w:rPr>
      </w:pPr>
      <w:r>
        <w:rPr>
          <w:rStyle w:val="altsayfaaltbaslik"/>
          <w:rFonts w:ascii="Arial" w:hAnsi="Arial" w:cs="Arial"/>
          <w:sz w:val="30"/>
        </w:rPr>
        <w:t xml:space="preserve">The Türk Ekonomi Bank (TEB) dropped the monthly interest rate in home loans of up to 10 years from 1.35 percent to 1.29. Getting into the fast lane in individual banking this year, TEB has shown by this </w:t>
      </w:r>
      <w:r>
        <w:rPr>
          <w:rStyle w:val="altsayfaaltbaslik"/>
          <w:rFonts w:ascii="Arial" w:hAnsi="Arial" w:cs="Arial"/>
          <w:sz w:val="30"/>
        </w:rPr>
        <w:t>significant reduction of interest that it’s competing in earnest.</w:t>
      </w:r>
    </w:p>
    <w:p w:rsidR="006A394B" w:rsidRDefault="006A394B">
      <w:pPr>
        <w:jc w:val="both"/>
        <w:rPr>
          <w:rFonts w:ascii="Arial" w:hAnsi="Arial" w:cs="Arial"/>
          <w:szCs w:val="18"/>
        </w:rPr>
      </w:pPr>
    </w:p>
    <w:p w:rsidR="006A394B" w:rsidRDefault="00F66AC8">
      <w:pPr>
        <w:jc w:val="both"/>
        <w:rPr>
          <w:rFonts w:ascii="Arial" w:hAnsi="Arial" w:cs="Arial"/>
          <w:sz w:val="22"/>
        </w:rPr>
      </w:pPr>
      <w:r>
        <w:rPr>
          <w:rFonts w:ascii="Arial" w:hAnsi="Arial" w:cs="Arial"/>
          <w:sz w:val="22"/>
        </w:rPr>
        <w:t>Enlivened by the picking up of the economy, the real estate sector has driven the finance sector into a fierce competition in interest rates, as well. Having joined forces early this year w</w:t>
      </w:r>
      <w:r>
        <w:rPr>
          <w:rFonts w:ascii="Arial" w:hAnsi="Arial" w:cs="Arial"/>
          <w:sz w:val="22"/>
        </w:rPr>
        <w:t>ith the BNP Paribas, the seventh largest bank in the world and the largest in the Euro zone, the Türk Ekonomi Bank (TEB) has become one of the key players in the competition.</w:t>
      </w:r>
    </w:p>
    <w:p w:rsidR="006A394B" w:rsidRDefault="006A394B">
      <w:pPr>
        <w:jc w:val="both"/>
        <w:rPr>
          <w:rFonts w:ascii="Arial" w:hAnsi="Arial" w:cs="Arial"/>
          <w:sz w:val="22"/>
        </w:rPr>
      </w:pPr>
    </w:p>
    <w:p w:rsidR="006A394B" w:rsidRDefault="00F66AC8">
      <w:pPr>
        <w:jc w:val="both"/>
        <w:rPr>
          <w:rFonts w:ascii="Arial" w:hAnsi="Arial" w:cs="Arial"/>
          <w:sz w:val="22"/>
        </w:rPr>
      </w:pPr>
      <w:r>
        <w:rPr>
          <w:rFonts w:ascii="Arial" w:hAnsi="Arial" w:cs="Arial"/>
          <w:sz w:val="22"/>
        </w:rPr>
        <w:t>Carrying the momentum of its forward leap in individual banking into consumer lo</w:t>
      </w:r>
      <w:r>
        <w:rPr>
          <w:rFonts w:ascii="Arial" w:hAnsi="Arial" w:cs="Arial"/>
          <w:sz w:val="22"/>
        </w:rPr>
        <w:t>ans, TEB dropped its rate of interest in home loans of up to 10 years to 1.29 percent. Under the new rate, a consumer receiving a loan of TL 100 billion (YTL 100,000) from TEB will repay TL 1.691 billion (YTL 1,691) per month over a 120-month term. The amo</w:t>
      </w:r>
      <w:r>
        <w:rPr>
          <w:rFonts w:ascii="Arial" w:hAnsi="Arial" w:cs="Arial"/>
          <w:sz w:val="22"/>
        </w:rPr>
        <w:t>unt of monthly repayment will be TL 2.445 billion (YTL 2,445) in the case of a 60-month term.</w:t>
      </w:r>
    </w:p>
    <w:p w:rsidR="006A394B" w:rsidRDefault="006A394B">
      <w:pPr>
        <w:jc w:val="both"/>
        <w:rPr>
          <w:rFonts w:ascii="Arial" w:hAnsi="Arial" w:cs="Arial"/>
          <w:sz w:val="22"/>
        </w:rPr>
      </w:pPr>
    </w:p>
    <w:p w:rsidR="006A394B" w:rsidRDefault="00F66AC8">
      <w:pPr>
        <w:pStyle w:val="Heading2"/>
        <w:rPr>
          <w:lang w:val="en-US"/>
        </w:rPr>
      </w:pPr>
      <w:r>
        <w:rPr>
          <w:lang w:val="en-US"/>
        </w:rPr>
        <w:t>Loans equaling 75 percent of valued price</w:t>
      </w:r>
    </w:p>
    <w:p w:rsidR="006A394B" w:rsidRDefault="00F66AC8">
      <w:pPr>
        <w:jc w:val="both"/>
        <w:rPr>
          <w:rFonts w:ascii="Arial" w:hAnsi="Arial" w:cs="Arial"/>
          <w:sz w:val="22"/>
          <w:szCs w:val="18"/>
        </w:rPr>
      </w:pPr>
      <w:r>
        <w:rPr>
          <w:rFonts w:ascii="Arial" w:hAnsi="Arial" w:cs="Arial"/>
          <w:sz w:val="22"/>
          <w:szCs w:val="18"/>
        </w:rPr>
        <w:t>Offering home loan options with terms ranging from 3 to 120 months, TEB extends loans in the amount of 75 percent of th</w:t>
      </w:r>
      <w:r>
        <w:rPr>
          <w:rFonts w:ascii="Arial" w:hAnsi="Arial" w:cs="Arial"/>
          <w:sz w:val="22"/>
          <w:szCs w:val="18"/>
        </w:rPr>
        <w:t>e officially valued price of the house for which credit is requested.</w:t>
      </w:r>
    </w:p>
    <w:p w:rsidR="006A394B" w:rsidRDefault="006A394B">
      <w:pPr>
        <w:jc w:val="both"/>
        <w:rPr>
          <w:rFonts w:ascii="Arial" w:hAnsi="Arial" w:cs="Arial"/>
          <w:sz w:val="22"/>
          <w:szCs w:val="18"/>
        </w:rPr>
      </w:pPr>
    </w:p>
    <w:p w:rsidR="006A394B" w:rsidRDefault="00F66AC8">
      <w:pPr>
        <w:pStyle w:val="NormalWeb"/>
        <w:spacing w:before="0" w:beforeAutospacing="0" w:after="0" w:afterAutospacing="0"/>
        <w:rPr>
          <w:sz w:val="22"/>
          <w:lang w:val="en-US"/>
        </w:rPr>
      </w:pPr>
      <w:r>
        <w:rPr>
          <w:rFonts w:ascii="Arial" w:eastAsia="Times New Roman" w:hAnsi="Arial" w:cs="Arial"/>
          <w:sz w:val="22"/>
          <w:szCs w:val="18"/>
          <w:lang w:val="en-US" w:eastAsia="en-US"/>
        </w:rPr>
        <w:t>TEB aims to turn more consumers into homeowners with its new 1.29-percent interest rate.  TEB’s Deputy General Manager in charge of Individual Banking Cemal Kişmir noted that they carri</w:t>
      </w:r>
      <w:r>
        <w:rPr>
          <w:rFonts w:ascii="Arial" w:eastAsia="Times New Roman" w:hAnsi="Arial" w:cs="Arial"/>
          <w:sz w:val="22"/>
          <w:szCs w:val="18"/>
          <w:lang w:val="en-US" w:eastAsia="en-US"/>
        </w:rPr>
        <w:t>ed on with the move TEB made in individual banking in a consistent manner befitting the bank’s corporate structure.  “Our goal is to increase our share in the market in the coming term and continue with the same quality service we have been providing our c</w:t>
      </w:r>
      <w:r>
        <w:rPr>
          <w:rFonts w:ascii="Arial" w:eastAsia="Times New Roman" w:hAnsi="Arial" w:cs="Arial"/>
          <w:sz w:val="22"/>
          <w:szCs w:val="18"/>
          <w:lang w:val="en-US" w:eastAsia="en-US"/>
        </w:rPr>
        <w:t>ustomers all along,” he said.</w:t>
      </w:r>
    </w:p>
    <w:p w:rsidR="006A394B" w:rsidRDefault="006A394B">
      <w:pPr>
        <w:jc w:val="both"/>
        <w:rPr>
          <w:rFonts w:ascii="Arial" w:hAnsi="Arial" w:cs="Arial"/>
          <w:sz w:val="22"/>
          <w:szCs w:val="18"/>
        </w:rPr>
      </w:pPr>
    </w:p>
    <w:p w:rsidR="006A394B" w:rsidRDefault="00F66AC8">
      <w:pPr>
        <w:jc w:val="both"/>
        <w:rPr>
          <w:rFonts w:ascii="Arial" w:hAnsi="Arial" w:cs="Arial"/>
          <w:sz w:val="22"/>
          <w:szCs w:val="18"/>
        </w:rPr>
      </w:pPr>
      <w:r>
        <w:rPr>
          <w:rFonts w:ascii="Arial" w:hAnsi="Arial" w:cs="Arial"/>
          <w:sz w:val="22"/>
          <w:szCs w:val="18"/>
        </w:rPr>
        <w:t xml:space="preserve">Calling attention to the rapid rise in the use of home loans in pace with the growing demand for housing, Kişmir said, “We dropped our rate of interest in home loans of up to 120 months to 1.29 percent in order to meet the </w:t>
      </w:r>
      <w:r>
        <w:rPr>
          <w:rFonts w:ascii="Arial" w:hAnsi="Arial" w:cs="Arial"/>
          <w:sz w:val="22"/>
          <w:szCs w:val="18"/>
        </w:rPr>
        <w:t>expectations of our customers in the best possible manner and offer them more favorable terms in getting home loans.”</w:t>
      </w:r>
    </w:p>
    <w:p w:rsidR="006A394B" w:rsidRDefault="006A394B">
      <w:pPr>
        <w:jc w:val="both"/>
        <w:rPr>
          <w:rFonts w:ascii="Arial" w:hAnsi="Arial" w:cs="Arial"/>
          <w:sz w:val="22"/>
          <w:szCs w:val="18"/>
        </w:rPr>
      </w:pPr>
    </w:p>
    <w:p w:rsidR="006A394B" w:rsidRDefault="006A394B">
      <w:pPr>
        <w:rPr>
          <w:rFonts w:ascii="Arial" w:hAnsi="Arial" w:cs="Arial"/>
          <w:sz w:val="22"/>
        </w:rPr>
      </w:pPr>
    </w:p>
    <w:p w:rsidR="006A394B" w:rsidRDefault="00F66AC8">
      <w:pPr>
        <w:rPr>
          <w:rFonts w:ascii="Arial" w:hAnsi="Arial" w:cs="Arial"/>
        </w:rPr>
      </w:pPr>
      <w:r>
        <w:rPr>
          <w:rFonts w:ascii="Arial" w:hAnsi="Arial" w:cs="Arial"/>
        </w:rPr>
        <w:tab/>
      </w:r>
    </w:p>
    <w:p w:rsidR="006A394B" w:rsidRDefault="00F66AC8">
      <w:pPr>
        <w:jc w:val="both"/>
        <w:rPr>
          <w:rFonts w:ascii="Arial" w:hAnsi="Arial" w:cs="Arial"/>
          <w:b/>
          <w:sz w:val="20"/>
        </w:rPr>
      </w:pPr>
      <w:r>
        <w:rPr>
          <w:rFonts w:ascii="Arial" w:hAnsi="Arial" w:cs="Arial"/>
          <w:b/>
          <w:sz w:val="20"/>
        </w:rPr>
        <w:t xml:space="preserve">For information: </w:t>
      </w:r>
    </w:p>
    <w:p w:rsidR="006A394B" w:rsidRDefault="00F66AC8">
      <w:pPr>
        <w:jc w:val="both"/>
        <w:rPr>
          <w:rFonts w:ascii="Arial" w:hAnsi="Arial" w:cs="Arial"/>
          <w:sz w:val="20"/>
        </w:rPr>
      </w:pPr>
      <w:r>
        <w:rPr>
          <w:rFonts w:ascii="Arial" w:hAnsi="Arial" w:cs="Arial"/>
          <w:sz w:val="20"/>
        </w:rPr>
        <w:t>Global Tanıtım / 0212 270 52 32</w:t>
      </w:r>
    </w:p>
    <w:p w:rsidR="006A394B" w:rsidRDefault="00F66AC8">
      <w:pPr>
        <w:jc w:val="both"/>
        <w:rPr>
          <w:rFonts w:ascii="Arial" w:hAnsi="Arial" w:cs="Arial"/>
          <w:sz w:val="20"/>
        </w:rPr>
      </w:pPr>
      <w:r>
        <w:rPr>
          <w:rFonts w:ascii="Arial" w:hAnsi="Arial" w:cs="Arial"/>
          <w:sz w:val="20"/>
        </w:rPr>
        <w:t>Altan Erüs / Birgül Taşdemir</w:t>
      </w:r>
    </w:p>
    <w:p w:rsidR="006A394B" w:rsidRDefault="00F66AC8">
      <w:pPr>
        <w:jc w:val="both"/>
        <w:rPr>
          <w:rFonts w:ascii="Arial" w:hAnsi="Arial" w:cs="Arial"/>
          <w:sz w:val="20"/>
        </w:rPr>
      </w:pPr>
      <w:r>
        <w:rPr>
          <w:rFonts w:ascii="Arial" w:hAnsi="Arial" w:cs="Arial"/>
          <w:sz w:val="20"/>
        </w:rPr>
        <w:t>altan.erus@globaltanitim.com / birgul.tasdemir@globalta</w:t>
      </w:r>
      <w:r>
        <w:rPr>
          <w:rFonts w:ascii="Arial" w:hAnsi="Arial" w:cs="Arial"/>
          <w:sz w:val="20"/>
        </w:rPr>
        <w:t xml:space="preserve">nitim.com </w:t>
      </w:r>
    </w:p>
    <w:p w:rsidR="006A394B" w:rsidRDefault="006A394B">
      <w:pPr>
        <w:rPr>
          <w:rFonts w:ascii="Arial" w:hAnsi="Arial" w:cs="Arial"/>
          <w:sz w:val="20"/>
        </w:rPr>
      </w:pPr>
    </w:p>
    <w:p w:rsidR="006A394B" w:rsidRDefault="006A394B">
      <w:pPr>
        <w:pStyle w:val="BodyText"/>
        <w:jc w:val="left"/>
        <w:rPr>
          <w:rFonts w:ascii="Arial" w:hAnsi="Arial" w:cs="Arial"/>
          <w:sz w:val="20"/>
        </w:rPr>
      </w:pPr>
    </w:p>
    <w:p w:rsidR="006A394B" w:rsidRDefault="006A394B">
      <w:pPr>
        <w:pStyle w:val="BodyText"/>
        <w:jc w:val="left"/>
        <w:rPr>
          <w:rFonts w:ascii="Arial" w:hAnsi="Arial" w:cs="Arial"/>
          <w:sz w:val="20"/>
        </w:rPr>
      </w:pPr>
    </w:p>
    <w:sectPr w:rsidR="006A394B">
      <w:pgSz w:w="11906" w:h="16838" w:code="9"/>
      <w:pgMar w:top="1134"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Verdana">
    <w:panose1 w:val="020B0604030504040204"/>
    <w:charset w:val="A2"/>
    <w:family w:val="swiss"/>
    <w:pitch w:val="variable"/>
    <w:sig w:usb0="A10006FF" w:usb1="4000205B" w:usb2="00000010" w:usb3="00000000" w:csb0="0000019F" w:csb1="00000000"/>
  </w:font>
  <w:font w:name="Times New Roman TUR">
    <w:panose1 w:val="02020603050405020304"/>
    <w:charset w:val="A2"/>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20"/>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0A84"/>
    <w:rsid w:val="006A394B"/>
    <w:rsid w:val="00C80A84"/>
    <w:rsid w:val="00F66AC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paragraph" w:styleId="Heading1">
    <w:name w:val="heading 1"/>
    <w:basedOn w:val="Normal"/>
    <w:next w:val="Normal"/>
    <w:qFormat/>
    <w:pPr>
      <w:keepNext/>
      <w:jc w:val="center"/>
      <w:outlineLvl w:val="0"/>
    </w:pPr>
    <w:rPr>
      <w:b/>
      <w:bCs/>
      <w:sz w:val="56"/>
      <w:lang w:val="tr-TR"/>
    </w:rPr>
  </w:style>
  <w:style w:type="paragraph" w:styleId="Heading2">
    <w:name w:val="heading 2"/>
    <w:basedOn w:val="Normal"/>
    <w:next w:val="Normal"/>
    <w:qFormat/>
    <w:pPr>
      <w:keepNext/>
      <w:jc w:val="both"/>
      <w:outlineLvl w:val="1"/>
    </w:pPr>
    <w:rPr>
      <w:rFonts w:ascii="Arial" w:hAnsi="Arial" w:cs="Arial"/>
      <w:b/>
      <w:bCs/>
      <w:sz w:val="22"/>
      <w:lang w:val="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autoSpaceDE w:val="0"/>
      <w:autoSpaceDN w:val="0"/>
      <w:adjustRightInd w:val="0"/>
      <w:jc w:val="center"/>
    </w:pPr>
    <w:rPr>
      <w:rFonts w:ascii="Verdana" w:hAnsi="Verdana" w:cs="Times New Roman TUR"/>
      <w:sz w:val="28"/>
      <w:szCs w:val="28"/>
    </w:rPr>
  </w:style>
  <w:style w:type="paragraph" w:styleId="BodyText2">
    <w:name w:val="Body Text 2"/>
    <w:basedOn w:val="Normal"/>
    <w:semiHidden/>
    <w:pPr>
      <w:autoSpaceDE w:val="0"/>
      <w:autoSpaceDN w:val="0"/>
      <w:adjustRightInd w:val="0"/>
    </w:pPr>
    <w:rPr>
      <w:color w:val="0000FF"/>
      <w:szCs w:val="32"/>
    </w:rPr>
  </w:style>
  <w:style w:type="paragraph" w:styleId="BodyText3">
    <w:name w:val="Body Text 3"/>
    <w:basedOn w:val="Normal"/>
    <w:semiHidden/>
    <w:pPr>
      <w:spacing w:before="100" w:beforeAutospacing="1" w:after="100" w:afterAutospacing="1" w:line="195" w:lineRule="atLeast"/>
      <w:jc w:val="both"/>
    </w:pPr>
    <w:rPr>
      <w:b/>
      <w:bCs/>
      <w:lang w:val="tr-TR"/>
    </w:rPr>
  </w:style>
  <w:style w:type="character" w:customStyle="1" w:styleId="altsayfaaltbaslik">
    <w:name w:val="altsayfaaltbaslik"/>
    <w:basedOn w:val="DefaultParagraphFont"/>
  </w:style>
  <w:style w:type="paragraph" w:styleId="Title">
    <w:name w:val="Title"/>
    <w:basedOn w:val="Normal"/>
    <w:qFormat/>
    <w:pPr>
      <w:jc w:val="center"/>
    </w:pPr>
    <w:rPr>
      <w:sz w:val="44"/>
      <w:lang w:val="tr-TR" w:eastAsia="tr-TR"/>
    </w:r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lang w:val="tr-TR" w:eastAsia="tr-TR"/>
    </w:rPr>
  </w:style>
  <w:style w:type="character" w:customStyle="1" w:styleId="anaspot1">
    <w:name w:val="ana_spot1"/>
    <w:basedOn w:val="DefaultParagraphFont"/>
    <w:rPr>
      <w:rFonts w:ascii="Verdana" w:hAnsi="Verdana" w:hint="default"/>
      <w:b/>
      <w:bCs/>
      <w:color w:val="000000"/>
      <w:sz w:val="20"/>
      <w:szCs w:val="20"/>
    </w:rPr>
  </w:style>
  <w:style w:type="paragraph" w:styleId="BalloonText">
    <w:name w:val="Balloon Text"/>
    <w:basedOn w:val="Normal"/>
    <w:link w:val="BalloonTextChar"/>
    <w:uiPriority w:val="99"/>
    <w:semiHidden/>
    <w:unhideWhenUsed/>
    <w:rsid w:val="00F66AC8"/>
    <w:rPr>
      <w:rFonts w:ascii="Tahoma" w:hAnsi="Tahoma" w:cs="Tahoma"/>
      <w:sz w:val="16"/>
      <w:szCs w:val="16"/>
    </w:rPr>
  </w:style>
  <w:style w:type="character" w:customStyle="1" w:styleId="BalloonTextChar">
    <w:name w:val="Balloon Text Char"/>
    <w:basedOn w:val="DefaultParagraphFont"/>
    <w:link w:val="BalloonText"/>
    <w:uiPriority w:val="99"/>
    <w:semiHidden/>
    <w:rsid w:val="00F66AC8"/>
    <w:rPr>
      <w:rFonts w:ascii="Tahoma" w:hAnsi="Tahoma" w:cs="Tahoma"/>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paragraph" w:styleId="Heading1">
    <w:name w:val="heading 1"/>
    <w:basedOn w:val="Normal"/>
    <w:next w:val="Normal"/>
    <w:qFormat/>
    <w:pPr>
      <w:keepNext/>
      <w:jc w:val="center"/>
      <w:outlineLvl w:val="0"/>
    </w:pPr>
    <w:rPr>
      <w:b/>
      <w:bCs/>
      <w:sz w:val="56"/>
      <w:lang w:val="tr-TR"/>
    </w:rPr>
  </w:style>
  <w:style w:type="paragraph" w:styleId="Heading2">
    <w:name w:val="heading 2"/>
    <w:basedOn w:val="Normal"/>
    <w:next w:val="Normal"/>
    <w:qFormat/>
    <w:pPr>
      <w:keepNext/>
      <w:jc w:val="both"/>
      <w:outlineLvl w:val="1"/>
    </w:pPr>
    <w:rPr>
      <w:rFonts w:ascii="Arial" w:hAnsi="Arial" w:cs="Arial"/>
      <w:b/>
      <w:bCs/>
      <w:sz w:val="22"/>
      <w:lang w:val="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autoSpaceDE w:val="0"/>
      <w:autoSpaceDN w:val="0"/>
      <w:adjustRightInd w:val="0"/>
      <w:jc w:val="center"/>
    </w:pPr>
    <w:rPr>
      <w:rFonts w:ascii="Verdana" w:hAnsi="Verdana" w:cs="Times New Roman TUR"/>
      <w:sz w:val="28"/>
      <w:szCs w:val="28"/>
    </w:rPr>
  </w:style>
  <w:style w:type="paragraph" w:styleId="BodyText2">
    <w:name w:val="Body Text 2"/>
    <w:basedOn w:val="Normal"/>
    <w:semiHidden/>
    <w:pPr>
      <w:autoSpaceDE w:val="0"/>
      <w:autoSpaceDN w:val="0"/>
      <w:adjustRightInd w:val="0"/>
    </w:pPr>
    <w:rPr>
      <w:color w:val="0000FF"/>
      <w:szCs w:val="32"/>
    </w:rPr>
  </w:style>
  <w:style w:type="paragraph" w:styleId="BodyText3">
    <w:name w:val="Body Text 3"/>
    <w:basedOn w:val="Normal"/>
    <w:semiHidden/>
    <w:pPr>
      <w:spacing w:before="100" w:beforeAutospacing="1" w:after="100" w:afterAutospacing="1" w:line="195" w:lineRule="atLeast"/>
      <w:jc w:val="both"/>
    </w:pPr>
    <w:rPr>
      <w:b/>
      <w:bCs/>
      <w:lang w:val="tr-TR"/>
    </w:rPr>
  </w:style>
  <w:style w:type="character" w:customStyle="1" w:styleId="altsayfaaltbaslik">
    <w:name w:val="altsayfaaltbaslik"/>
    <w:basedOn w:val="DefaultParagraphFont"/>
  </w:style>
  <w:style w:type="paragraph" w:styleId="Title">
    <w:name w:val="Title"/>
    <w:basedOn w:val="Normal"/>
    <w:qFormat/>
    <w:pPr>
      <w:jc w:val="center"/>
    </w:pPr>
    <w:rPr>
      <w:sz w:val="44"/>
      <w:lang w:val="tr-TR" w:eastAsia="tr-TR"/>
    </w:r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lang w:val="tr-TR" w:eastAsia="tr-TR"/>
    </w:rPr>
  </w:style>
  <w:style w:type="character" w:customStyle="1" w:styleId="anaspot1">
    <w:name w:val="ana_spot1"/>
    <w:basedOn w:val="DefaultParagraphFont"/>
    <w:rPr>
      <w:rFonts w:ascii="Verdana" w:hAnsi="Verdana" w:hint="default"/>
      <w:b/>
      <w:bCs/>
      <w:color w:val="000000"/>
      <w:sz w:val="20"/>
      <w:szCs w:val="20"/>
    </w:rPr>
  </w:style>
  <w:style w:type="paragraph" w:styleId="BalloonText">
    <w:name w:val="Balloon Text"/>
    <w:basedOn w:val="Normal"/>
    <w:link w:val="BalloonTextChar"/>
    <w:uiPriority w:val="99"/>
    <w:semiHidden/>
    <w:unhideWhenUsed/>
    <w:rsid w:val="00F66AC8"/>
    <w:rPr>
      <w:rFonts w:ascii="Tahoma" w:hAnsi="Tahoma" w:cs="Tahoma"/>
      <w:sz w:val="16"/>
      <w:szCs w:val="16"/>
    </w:rPr>
  </w:style>
  <w:style w:type="character" w:customStyle="1" w:styleId="BalloonTextChar">
    <w:name w:val="Balloon Text Char"/>
    <w:basedOn w:val="DefaultParagraphFont"/>
    <w:link w:val="BalloonText"/>
    <w:uiPriority w:val="99"/>
    <w:semiHidden/>
    <w:rsid w:val="00F66AC8"/>
    <w:rPr>
      <w:rFonts w:ascii="Tahoma"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345</Words>
  <Characters>1968</Characters>
  <Application>Microsoft Office Word</Application>
  <DocSecurity>4</DocSecurity>
  <Lines>16</Lines>
  <Paragraphs>4</Paragraphs>
  <ScaleCrop>false</ScaleCrop>
  <Company>BNP Paribas</Company>
  <LinksUpToDate>false</LinksUpToDate>
  <CharactersWithSpaces>2309</CharactersWithSpaces>
  <SharedDoc>false</SharedDoc>
  <HLinks>
    <vt:vector size="6" baseType="variant">
      <vt:variant>
        <vt:i4>4456458</vt:i4>
      </vt:variant>
      <vt:variant>
        <vt:i4>1024</vt:i4>
      </vt:variant>
      <vt:variant>
        <vt:i4>1025</vt:i4>
      </vt:variant>
      <vt:variant>
        <vt:i4>1</vt:i4>
      </vt:variant>
      <vt:variant>
        <vt:lpwstr>teb-yenilogo</vt:lpwstr>
      </vt:variant>
      <vt:variant>
        <vt:lpwstr>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P23808</cp:lastModifiedBy>
  <cp:revision>2</cp:revision>
  <dcterms:created xsi:type="dcterms:W3CDTF">2016-11-28T07:00:00Z</dcterms:created>
  <dcterms:modified xsi:type="dcterms:W3CDTF">2016-11-28T07:00:00Z</dcterms:modified>
</cp:coreProperties>
</file>