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4F1" w:rsidRDefault="001C0171">
      <w:pPr>
        <w:pStyle w:val="Title"/>
        <w:rPr>
          <w:rFonts w:ascii="Arial" w:hAnsi="Arial" w:cs="Arial"/>
          <w:lang w:val="en-US"/>
        </w:rPr>
      </w:pPr>
      <w:bookmarkStart w:id="0" w:name="_GoBack"/>
      <w:bookmarkEnd w:id="0"/>
      <w:r>
        <w:rPr>
          <w:rFonts w:ascii="Arial" w:hAnsi="Arial" w:cs="Arial"/>
          <w:lang w:val="en-US"/>
        </w:rPr>
        <w:t>TEB KOBİ Academy meets with small-to-medium-size businesses in Mersin and Manisa</w:t>
      </w:r>
    </w:p>
    <w:p w:rsidR="002234F1" w:rsidRDefault="002234F1">
      <w:pPr>
        <w:rPr>
          <w:rFonts w:ascii="Arial" w:hAnsi="Arial" w:cs="Arial"/>
        </w:rPr>
      </w:pPr>
    </w:p>
    <w:p w:rsidR="002234F1" w:rsidRDefault="001C0171">
      <w:pPr>
        <w:pStyle w:val="BodyText2"/>
        <w:rPr>
          <w:lang w:val="en-US"/>
        </w:rPr>
      </w:pPr>
      <w:r>
        <w:rPr>
          <w:lang w:val="en-US"/>
        </w:rPr>
        <w:t xml:space="preserve">As small-to-medium-size businesses gain greater weight in Turkey’s economy, the Türk Ekonomi Bank has added a new project to its array of services offered to </w:t>
      </w:r>
      <w:r>
        <w:rPr>
          <w:lang w:val="en-US"/>
        </w:rPr>
        <w:t xml:space="preserve">small-to-medium-size businesses. </w:t>
      </w:r>
    </w:p>
    <w:p w:rsidR="002234F1" w:rsidRDefault="002234F1">
      <w:pPr>
        <w:jc w:val="both"/>
        <w:rPr>
          <w:rFonts w:ascii="Arial" w:hAnsi="Arial" w:cs="Arial"/>
          <w:sz w:val="22"/>
        </w:rPr>
      </w:pPr>
    </w:p>
    <w:p w:rsidR="002234F1" w:rsidRDefault="001C0171">
      <w:pPr>
        <w:jc w:val="both"/>
        <w:rPr>
          <w:rFonts w:ascii="Arial" w:hAnsi="Arial" w:cs="Arial"/>
          <w:sz w:val="22"/>
        </w:rPr>
      </w:pPr>
      <w:r>
        <w:rPr>
          <w:rFonts w:ascii="Arial" w:hAnsi="Arial" w:cs="Arial"/>
          <w:sz w:val="22"/>
        </w:rPr>
        <w:t>The Türk Ekonomi Bank held its first Strategic Management Seminar in Mersin on 4 July and the second in Manisa on 11 August. Strategic Management Seminars serve as a platform where TEB imparts to small-to-medium-size busi</w:t>
      </w:r>
      <w:r>
        <w:rPr>
          <w:rFonts w:ascii="Arial" w:hAnsi="Arial" w:cs="Arial"/>
          <w:sz w:val="22"/>
        </w:rPr>
        <w:t xml:space="preserve">nesses critical knowledge that will give them a competitive edge. </w:t>
      </w:r>
    </w:p>
    <w:p w:rsidR="002234F1" w:rsidRDefault="002234F1">
      <w:pPr>
        <w:jc w:val="both"/>
        <w:rPr>
          <w:rFonts w:ascii="Arial" w:hAnsi="Arial" w:cs="Arial"/>
          <w:sz w:val="22"/>
        </w:rPr>
      </w:pPr>
    </w:p>
    <w:p w:rsidR="002234F1" w:rsidRDefault="001C0171">
      <w:pPr>
        <w:jc w:val="both"/>
        <w:rPr>
          <w:rFonts w:ascii="Arial" w:hAnsi="Arial" w:cs="Arial"/>
          <w:sz w:val="22"/>
        </w:rPr>
      </w:pPr>
      <w:r>
        <w:rPr>
          <w:rFonts w:ascii="Arial" w:hAnsi="Arial" w:cs="Arial"/>
          <w:sz w:val="22"/>
        </w:rPr>
        <w:t>Seminars and workshops on export, financing, and marketing were held as part of the TEB KOBİ Academy’s Strategic Management Seminars.</w:t>
      </w:r>
    </w:p>
    <w:p w:rsidR="002234F1" w:rsidRDefault="002234F1">
      <w:pPr>
        <w:jc w:val="both"/>
        <w:rPr>
          <w:rFonts w:ascii="Arial" w:hAnsi="Arial" w:cs="Arial"/>
          <w:sz w:val="22"/>
        </w:rPr>
      </w:pPr>
    </w:p>
    <w:p w:rsidR="002234F1" w:rsidRDefault="001C0171">
      <w:pPr>
        <w:jc w:val="both"/>
        <w:rPr>
          <w:rFonts w:ascii="Arial" w:hAnsi="Arial" w:cs="Arial"/>
          <w:sz w:val="22"/>
        </w:rPr>
      </w:pPr>
      <w:r>
        <w:rPr>
          <w:rFonts w:ascii="Arial" w:hAnsi="Arial" w:cs="Arial"/>
          <w:sz w:val="22"/>
        </w:rPr>
        <w:t>Workshops entitled “Your Compass To Profitability” in</w:t>
      </w:r>
      <w:r>
        <w:rPr>
          <w:rFonts w:ascii="Arial" w:hAnsi="Arial" w:cs="Arial"/>
          <w:sz w:val="22"/>
        </w:rPr>
        <w:t xml:space="preserve"> the field of strategy, “The Way To Hedging Your Risks” in export, and “The Key To Every Market” in quality were organized by the TEB KOBİ Academy to get the participating small-to-medium-size businesses involved in the practical side of things.</w:t>
      </w:r>
    </w:p>
    <w:p w:rsidR="002234F1" w:rsidRDefault="002234F1">
      <w:pPr>
        <w:jc w:val="both"/>
        <w:rPr>
          <w:rFonts w:ascii="Arial" w:hAnsi="Arial" w:cs="Arial"/>
          <w:sz w:val="22"/>
        </w:rPr>
      </w:pPr>
    </w:p>
    <w:p w:rsidR="002234F1" w:rsidRDefault="001C0171">
      <w:pPr>
        <w:pStyle w:val="BodyText2"/>
        <w:rPr>
          <w:lang w:val="en-US"/>
        </w:rPr>
      </w:pPr>
      <w:r>
        <w:rPr>
          <w:lang w:val="en-US"/>
        </w:rPr>
        <w:t>The semin</w:t>
      </w:r>
      <w:r>
        <w:rPr>
          <w:lang w:val="en-US"/>
        </w:rPr>
        <w:t>ars addressing the addressing the coping of small-to-medium-size businesses with the conditions of competition that are undergoing a transformation with the process of globalization, evaluating their fields of operation from different viewpoints, and outli</w:t>
      </w:r>
      <w:r>
        <w:rPr>
          <w:lang w:val="en-US"/>
        </w:rPr>
        <w:t>ning the threats facing small-to-medium-size businesses in domestic and foreign markets will continue across Turkey throughout the year.</w:t>
      </w:r>
    </w:p>
    <w:p w:rsidR="002234F1" w:rsidRDefault="002234F1"/>
    <w:sectPr w:rsidR="002234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38D"/>
    <w:rsid w:val="001C0171"/>
    <w:rsid w:val="002234F1"/>
    <w:rsid w:val="0071038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28"/>
      <w:lang w:val="tr-TR"/>
    </w:rPr>
  </w:style>
  <w:style w:type="paragraph" w:styleId="BodyText2">
    <w:name w:val="Body Text 2"/>
    <w:basedOn w:val="Normal"/>
    <w:semiHidden/>
    <w:pPr>
      <w:jc w:val="both"/>
    </w:pPr>
    <w:rPr>
      <w:rFonts w:ascii="Arial" w:hAnsi="Arial" w:cs="Arial"/>
      <w:sz w:val="22"/>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28"/>
      <w:lang w:val="tr-TR"/>
    </w:rPr>
  </w:style>
  <w:style w:type="paragraph" w:styleId="BodyText2">
    <w:name w:val="Body Text 2"/>
    <w:basedOn w:val="Normal"/>
    <w:semiHidden/>
    <w:pPr>
      <w:jc w:val="both"/>
    </w:pPr>
    <w:rPr>
      <w:rFonts w:ascii="Arial" w:hAnsi="Arial" w:cs="Arial"/>
      <w:sz w:val="22"/>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209</Words>
  <Characters>1193</Characters>
  <Application>Microsoft Office Word</Application>
  <DocSecurity>4</DocSecurity>
  <Lines>9</Lines>
  <Paragraphs>2</Paragraphs>
  <ScaleCrop>false</ScaleCrop>
  <Company>BNP Paribas</Company>
  <LinksUpToDate>false</LinksUpToDate>
  <CharactersWithSpaces>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