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09D" w:rsidRDefault="0063509D">
      <w:pPr>
        <w:pStyle w:val="Heading1"/>
        <w:rPr>
          <w:lang w:val="en-US"/>
        </w:rPr>
      </w:pPr>
      <w:bookmarkStart w:id="0" w:name="_GoBack"/>
      <w:bookmarkEnd w:id="0"/>
    </w:p>
    <w:p w:rsidR="0063509D" w:rsidRDefault="0063509D">
      <w:pPr>
        <w:jc w:val="both"/>
        <w:rPr>
          <w:rFonts w:ascii="Arial" w:hAnsi="Arial" w:cs="Arial"/>
          <w:sz w:val="32"/>
          <w:lang w:val="en-US"/>
        </w:rPr>
      </w:pPr>
    </w:p>
    <w:p w:rsidR="0063509D" w:rsidRDefault="00DC37E0">
      <w:pPr>
        <w:pStyle w:val="BodyText2"/>
        <w:rPr>
          <w:lang w:val="en-US"/>
        </w:rPr>
      </w:pPr>
      <w:r>
        <w:rPr>
          <w:lang w:val="en-US"/>
        </w:rPr>
        <w:t>TEB - BNP Paribas deal concluded</w:t>
      </w:r>
    </w:p>
    <w:p w:rsidR="0063509D" w:rsidRDefault="0063509D">
      <w:pPr>
        <w:jc w:val="center"/>
        <w:rPr>
          <w:rFonts w:ascii="Arial" w:hAnsi="Arial" w:cs="Arial"/>
          <w:sz w:val="32"/>
          <w:lang w:val="en-US"/>
        </w:rPr>
      </w:pPr>
    </w:p>
    <w:p w:rsidR="0063509D" w:rsidRDefault="00DC37E0">
      <w:pPr>
        <w:pStyle w:val="BodyText3"/>
        <w:rPr>
          <w:lang w:val="en-US"/>
        </w:rPr>
      </w:pPr>
      <w:r>
        <w:rPr>
          <w:lang w:val="en-US"/>
        </w:rPr>
        <w:t>The happy end has been reached in the merger negotiations that brought together BNP Paribas, the largest bank in the Euro zone, and the Türk Ekonomi Bank (TEB), one of Turkey’s most reputable banks. The final signatures have been put on the partnership agr</w:t>
      </w:r>
      <w:r>
        <w:rPr>
          <w:lang w:val="en-US"/>
        </w:rPr>
        <w:t>eement whereby BNP Paribas acquires a 50-percent stock in the TEB Mali Yatırımlar AŞ that owns 84.25 percent of TEB.</w:t>
      </w:r>
    </w:p>
    <w:p w:rsidR="0063509D" w:rsidRDefault="0063509D">
      <w:pPr>
        <w:jc w:val="center"/>
        <w:rPr>
          <w:rFonts w:ascii="Arial" w:hAnsi="Arial" w:cs="Arial"/>
          <w:lang w:val="en-US"/>
        </w:rPr>
      </w:pPr>
    </w:p>
    <w:p w:rsidR="0063509D" w:rsidRDefault="0063509D">
      <w:pPr>
        <w:jc w:val="center"/>
        <w:rPr>
          <w:rFonts w:ascii="Arial" w:hAnsi="Arial" w:cs="Arial"/>
          <w:lang w:val="en-US"/>
        </w:rPr>
      </w:pPr>
    </w:p>
    <w:p w:rsidR="0063509D" w:rsidRDefault="00DC37E0">
      <w:pPr>
        <w:jc w:val="both"/>
        <w:rPr>
          <w:rFonts w:ascii="Arial" w:hAnsi="Arial" w:cs="Arial"/>
          <w:lang w:val="en-US"/>
        </w:rPr>
      </w:pPr>
      <w:r>
        <w:rPr>
          <w:rFonts w:ascii="Arial" w:hAnsi="Arial" w:cs="Arial"/>
          <w:lang w:val="en-US"/>
        </w:rPr>
        <w:t>As foreign companies started a closer watch on a Turkey that set its economy on the fast lane to EU accession, mergers for which the grou</w:t>
      </w:r>
      <w:r>
        <w:rPr>
          <w:rFonts w:ascii="Arial" w:hAnsi="Arial" w:cs="Arial"/>
          <w:lang w:val="en-US"/>
        </w:rPr>
        <w:t xml:space="preserve">ndwork had been laid earlier began coming through in 2005. </w:t>
      </w:r>
    </w:p>
    <w:p w:rsidR="0063509D" w:rsidRDefault="0063509D">
      <w:pPr>
        <w:jc w:val="both"/>
        <w:rPr>
          <w:rFonts w:ascii="Arial" w:hAnsi="Arial" w:cs="Arial"/>
          <w:lang w:val="en-US"/>
        </w:rPr>
      </w:pPr>
    </w:p>
    <w:p w:rsidR="0063509D" w:rsidRDefault="00DC37E0">
      <w:pPr>
        <w:jc w:val="both"/>
        <w:rPr>
          <w:rFonts w:ascii="Arial" w:hAnsi="Arial" w:cs="Arial"/>
          <w:lang w:val="en-US"/>
        </w:rPr>
      </w:pPr>
      <w:r>
        <w:rPr>
          <w:rFonts w:ascii="Arial" w:hAnsi="Arial" w:cs="Arial"/>
          <w:lang w:val="en-US"/>
        </w:rPr>
        <w:t>The TEB Mali Yatırımlar AŞ (TEB Finance) that owns 84.25 percent of the Türk Ekonomi Bank, one of the pioneering and respected organizations in the Turkish finance sector, signed a partnership de</w:t>
      </w:r>
      <w:r>
        <w:rPr>
          <w:rFonts w:ascii="Arial" w:hAnsi="Arial" w:cs="Arial"/>
          <w:lang w:val="en-US"/>
        </w:rPr>
        <w:t>al with the BNP Paribas, the largest bank in the Euro zone. BNP Paribas purchased 50 percent of TEB Finance’s stock for US$216.8 million.</w:t>
      </w:r>
    </w:p>
    <w:p w:rsidR="0063509D" w:rsidRDefault="0063509D">
      <w:pPr>
        <w:jc w:val="both"/>
        <w:rPr>
          <w:rFonts w:ascii="Arial" w:hAnsi="Arial" w:cs="Arial"/>
          <w:lang w:val="en-US"/>
        </w:rPr>
      </w:pPr>
    </w:p>
    <w:p w:rsidR="0063509D" w:rsidRDefault="00DC37E0">
      <w:pPr>
        <w:jc w:val="both"/>
        <w:rPr>
          <w:rFonts w:ascii="Arial" w:hAnsi="Arial" w:cs="Arial"/>
          <w:lang w:val="en-US"/>
        </w:rPr>
      </w:pPr>
      <w:r>
        <w:rPr>
          <w:rFonts w:ascii="Arial" w:hAnsi="Arial" w:cs="Arial"/>
          <w:lang w:val="en-US"/>
        </w:rPr>
        <w:t xml:space="preserve">The signature ceremony was attended by TEB Finance Chairman of the Board Hasan Tevfik Çolakoğlu, TEB Chairman of the </w:t>
      </w:r>
      <w:r>
        <w:rPr>
          <w:rFonts w:ascii="Arial" w:hAnsi="Arial" w:cs="Arial"/>
          <w:lang w:val="en-US"/>
        </w:rPr>
        <w:t>Board Yavuz Canevi, TEB Finance General Manager Dr. Akın Akbaygil, TEB General Manager Varol Civil, Consultant to BNP Paribas Chairman of the Jacques de Larosi</w:t>
      </w:r>
      <w:r>
        <w:rPr>
          <w:rFonts w:ascii="Arial" w:hAnsi="Arial" w:cs="Arial" w:hint="eastAsia"/>
          <w:lang w:val="en-US"/>
        </w:rPr>
        <w:t>è</w:t>
      </w:r>
      <w:r>
        <w:rPr>
          <w:rFonts w:ascii="Arial" w:hAnsi="Arial" w:cs="Arial"/>
          <w:lang w:val="en-US"/>
        </w:rPr>
        <w:t>re, COO Jean Clamon, Head of International Individual Banking and Financial Services Pierre Mari</w:t>
      </w:r>
      <w:r>
        <w:rPr>
          <w:rFonts w:ascii="Arial" w:hAnsi="Arial" w:cs="Arial"/>
          <w:lang w:val="en-US"/>
        </w:rPr>
        <w:t>ani, and Head of Developing Markets Retail Jean-Jacques Santini.</w:t>
      </w:r>
    </w:p>
    <w:p w:rsidR="0063509D" w:rsidRDefault="0063509D">
      <w:pPr>
        <w:jc w:val="both"/>
        <w:rPr>
          <w:rFonts w:ascii="Arial" w:hAnsi="Arial" w:cs="Arial"/>
          <w:lang w:val="en-US"/>
        </w:rPr>
      </w:pPr>
    </w:p>
    <w:p w:rsidR="0063509D" w:rsidRDefault="00DC37E0">
      <w:pPr>
        <w:jc w:val="both"/>
        <w:rPr>
          <w:rFonts w:ascii="Arial" w:hAnsi="Arial" w:cs="Arial"/>
          <w:lang w:val="en-US"/>
        </w:rPr>
      </w:pPr>
      <w:r>
        <w:rPr>
          <w:rFonts w:ascii="Arial" w:hAnsi="Arial" w:cs="Arial"/>
          <w:lang w:val="en-US"/>
        </w:rPr>
        <w:t>By acquiring a 50-percent partnership in TEB Finance, BNP Paribas became a shareholder in TEB Yatırım (Investment), TEB Leasing, TEB Factoring, TEB Sigorta (Insurance), TEB Portfolio Managem</w:t>
      </w:r>
      <w:r>
        <w:rPr>
          <w:rFonts w:ascii="Arial" w:hAnsi="Arial" w:cs="Arial"/>
          <w:lang w:val="en-US"/>
        </w:rPr>
        <w:t>ent, and TEB NV that operates in Amsterdam as a Dutch bank along with the Türk Ekonomi Bank.</w:t>
      </w:r>
    </w:p>
    <w:p w:rsidR="0063509D" w:rsidRDefault="0063509D">
      <w:pPr>
        <w:jc w:val="both"/>
        <w:rPr>
          <w:rFonts w:ascii="Arial" w:hAnsi="Arial" w:cs="Arial"/>
          <w:lang w:val="en-US"/>
        </w:rPr>
      </w:pPr>
    </w:p>
    <w:p w:rsidR="0063509D" w:rsidRDefault="00DC37E0">
      <w:pPr>
        <w:jc w:val="both"/>
        <w:rPr>
          <w:rFonts w:ascii="Arial" w:hAnsi="Arial" w:cs="Arial"/>
          <w:lang w:val="en-US"/>
        </w:rPr>
      </w:pPr>
      <w:r>
        <w:rPr>
          <w:rFonts w:ascii="Arial" w:hAnsi="Arial" w:cs="Arial"/>
          <w:lang w:val="en-US"/>
        </w:rPr>
        <w:t xml:space="preserve">The partnership negotiations between TEB Finance and BNP Paribas began late June last year and were concluded in a surprisingly short period of time for a merger </w:t>
      </w:r>
      <w:r>
        <w:rPr>
          <w:rFonts w:ascii="Arial" w:hAnsi="Arial" w:cs="Arial"/>
          <w:lang w:val="en-US"/>
        </w:rPr>
        <w:t>operation of this scale.</w:t>
      </w:r>
    </w:p>
    <w:p w:rsidR="0063509D" w:rsidRDefault="0063509D">
      <w:pPr>
        <w:jc w:val="both"/>
        <w:rPr>
          <w:rFonts w:ascii="Arial" w:hAnsi="Arial" w:cs="Arial"/>
          <w:lang w:val="en-US"/>
        </w:rPr>
      </w:pPr>
    </w:p>
    <w:p w:rsidR="0063509D" w:rsidRDefault="0063509D">
      <w:pPr>
        <w:jc w:val="both"/>
        <w:rPr>
          <w:rFonts w:ascii="Arial" w:hAnsi="Arial" w:cs="Arial"/>
          <w:lang w:val="en-US"/>
        </w:rPr>
      </w:pPr>
    </w:p>
    <w:p w:rsidR="0063509D" w:rsidRDefault="0063509D">
      <w:pPr>
        <w:jc w:val="both"/>
        <w:rPr>
          <w:rFonts w:ascii="Arial" w:hAnsi="Arial" w:cs="Arial"/>
          <w:lang w:val="en-US"/>
        </w:rPr>
      </w:pPr>
    </w:p>
    <w:p w:rsidR="0063509D" w:rsidRDefault="0063509D">
      <w:pPr>
        <w:jc w:val="both"/>
        <w:rPr>
          <w:rFonts w:ascii="Arial" w:hAnsi="Arial" w:cs="Arial"/>
          <w:lang w:val="en-US"/>
        </w:rPr>
      </w:pPr>
    </w:p>
    <w:p w:rsidR="0063509D" w:rsidRDefault="0063509D">
      <w:pPr>
        <w:jc w:val="both"/>
        <w:rPr>
          <w:rFonts w:ascii="Arial" w:hAnsi="Arial" w:cs="Arial"/>
          <w:lang w:val="en-US"/>
        </w:rPr>
      </w:pPr>
    </w:p>
    <w:p w:rsidR="0063509D" w:rsidRDefault="00DC37E0">
      <w:pPr>
        <w:pStyle w:val="Heading2"/>
        <w:rPr>
          <w:lang w:val="en-US"/>
        </w:rPr>
      </w:pPr>
      <w:r>
        <w:rPr>
          <w:lang w:val="en-US"/>
        </w:rPr>
        <w:lastRenderedPageBreak/>
        <w:t>Consolidated size YTL 5 million</w:t>
      </w:r>
    </w:p>
    <w:p w:rsidR="0063509D" w:rsidRDefault="00DC37E0">
      <w:pPr>
        <w:jc w:val="both"/>
        <w:rPr>
          <w:rFonts w:ascii="Arial" w:hAnsi="Arial" w:cs="Arial"/>
          <w:lang w:val="en-US"/>
        </w:rPr>
      </w:pPr>
      <w:r>
        <w:rPr>
          <w:rFonts w:ascii="Arial" w:hAnsi="Arial" w:cs="Arial"/>
          <w:lang w:val="en-US"/>
        </w:rPr>
        <w:t>As of 30 September 2004, the consolidated size of the TEB Group embracing the entire spectrum of financial services reached YTL 5,143,144,000 (TL 5,143,144,000,000,000) and its own resources</w:t>
      </w:r>
      <w:r>
        <w:rPr>
          <w:rFonts w:ascii="Arial" w:hAnsi="Arial" w:cs="Arial"/>
          <w:b/>
          <w:bCs/>
          <w:lang w:val="en-US"/>
        </w:rPr>
        <w:t xml:space="preserve"> </w:t>
      </w:r>
      <w:r>
        <w:rPr>
          <w:rFonts w:ascii="Arial" w:hAnsi="Arial" w:cs="Arial"/>
          <w:lang w:val="en-US"/>
        </w:rPr>
        <w:t>YTL</w:t>
      </w:r>
      <w:r>
        <w:rPr>
          <w:rFonts w:ascii="Arial" w:hAnsi="Arial" w:cs="Arial"/>
          <w:b/>
          <w:bCs/>
          <w:lang w:val="en-US"/>
        </w:rPr>
        <w:t xml:space="preserve"> </w:t>
      </w:r>
      <w:r>
        <w:rPr>
          <w:rFonts w:ascii="Arial" w:hAnsi="Arial" w:cs="Arial"/>
          <w:lang w:val="en-US"/>
        </w:rPr>
        <w:t>387,700,000 (TL 387,700,000,000,000). The TEB Group employs nearly 2,600 people in its 90 branches across Turkey.</w:t>
      </w:r>
    </w:p>
    <w:p w:rsidR="0063509D" w:rsidRDefault="0063509D">
      <w:pPr>
        <w:jc w:val="both"/>
        <w:rPr>
          <w:rFonts w:ascii="Arial" w:hAnsi="Arial" w:cs="Arial"/>
          <w:lang w:val="en-US"/>
        </w:rPr>
      </w:pPr>
    </w:p>
    <w:p w:rsidR="0063509D" w:rsidRDefault="00DC37E0">
      <w:pPr>
        <w:pStyle w:val="BodyText"/>
        <w:rPr>
          <w:color w:val="auto"/>
          <w:lang w:val="en-US"/>
        </w:rPr>
      </w:pPr>
      <w:r>
        <w:rPr>
          <w:color w:val="auto"/>
          <w:lang w:val="en-US"/>
        </w:rPr>
        <w:t>Top executives of TEB and BNP Paribas pointed out in their remarks before the ceremony that as a result of the new partnership structure, BN</w:t>
      </w:r>
      <w:r>
        <w:rPr>
          <w:color w:val="auto"/>
          <w:lang w:val="en-US"/>
        </w:rPr>
        <w:t>P Paribas was going to share its broad global service network, its product expertise, its cross-sale know-how, and its fund management experience with TEB. They said the new partnership would enable TEB to grow and develop in all services, notably individu</w:t>
      </w:r>
      <w:r>
        <w:rPr>
          <w:color w:val="auto"/>
          <w:lang w:val="en-US"/>
        </w:rPr>
        <w:t>al, corporate, and investment banking.</w:t>
      </w:r>
    </w:p>
    <w:p w:rsidR="0063509D" w:rsidRDefault="0063509D">
      <w:pPr>
        <w:pStyle w:val="BodyText"/>
        <w:rPr>
          <w:lang w:val="en-US"/>
        </w:rPr>
      </w:pPr>
    </w:p>
    <w:p w:rsidR="0063509D" w:rsidRDefault="0063509D">
      <w:pPr>
        <w:pStyle w:val="BodyText"/>
        <w:rPr>
          <w:lang w:val="en-US"/>
        </w:rPr>
      </w:pPr>
    </w:p>
    <w:p w:rsidR="0063509D" w:rsidRDefault="0063509D">
      <w:pPr>
        <w:pStyle w:val="BodyText"/>
        <w:rPr>
          <w:lang w:val="en-US"/>
        </w:rPr>
      </w:pPr>
    </w:p>
    <w:p w:rsidR="0063509D" w:rsidRDefault="0063509D">
      <w:pPr>
        <w:pStyle w:val="BodyText"/>
        <w:rPr>
          <w:lang w:val="en-US"/>
        </w:rPr>
      </w:pPr>
    </w:p>
    <w:p w:rsidR="0063509D" w:rsidRDefault="00DC37E0">
      <w:pPr>
        <w:pStyle w:val="BodyText"/>
        <w:rPr>
          <w:b/>
          <w:bCs/>
          <w:lang w:val="en-US"/>
        </w:rPr>
      </w:pPr>
      <w:r>
        <w:rPr>
          <w:b/>
          <w:bCs/>
          <w:lang w:val="en-US"/>
        </w:rPr>
        <w:t>Enclosed slides:</w:t>
      </w:r>
    </w:p>
    <w:p w:rsidR="0063509D" w:rsidRDefault="0063509D">
      <w:pPr>
        <w:pStyle w:val="BodyText"/>
        <w:rPr>
          <w:lang w:val="en-US"/>
        </w:rPr>
      </w:pPr>
    </w:p>
    <w:p w:rsidR="0063509D" w:rsidRDefault="00DC37E0">
      <w:pPr>
        <w:jc w:val="both"/>
        <w:rPr>
          <w:rFonts w:ascii="Arial" w:hAnsi="Arial" w:cs="Arial"/>
          <w:lang w:val="en-US"/>
        </w:rPr>
      </w:pPr>
      <w:r>
        <w:rPr>
          <w:rFonts w:ascii="Arial" w:hAnsi="Arial" w:cs="Arial"/>
          <w:b/>
          <w:bCs/>
          <w:lang w:val="en-US"/>
        </w:rPr>
        <w:t xml:space="preserve">Slide 1. </w:t>
      </w:r>
      <w:r>
        <w:rPr>
          <w:rFonts w:ascii="Arial" w:hAnsi="Arial" w:cs="Arial"/>
          <w:lang w:val="en-US"/>
        </w:rPr>
        <w:t>(left to right) TEB Chairman of the Board Yavuz Canevi, TEB Finance General Manager Dr. Akın Akbaygil, TEB General Manager Varol Civil,</w:t>
      </w:r>
    </w:p>
    <w:p w:rsidR="0063509D" w:rsidRDefault="00DC37E0">
      <w:pPr>
        <w:jc w:val="both"/>
        <w:rPr>
          <w:rFonts w:ascii="Arial" w:hAnsi="Arial" w:cs="Arial"/>
          <w:lang w:val="en-US"/>
        </w:rPr>
      </w:pPr>
      <w:r>
        <w:rPr>
          <w:rFonts w:ascii="Arial" w:hAnsi="Arial" w:cs="Arial"/>
          <w:b/>
          <w:bCs/>
          <w:lang w:val="en-US"/>
        </w:rPr>
        <w:t xml:space="preserve">Slide 2. </w:t>
      </w:r>
      <w:r>
        <w:rPr>
          <w:rFonts w:ascii="Arial" w:hAnsi="Arial" w:cs="Arial"/>
          <w:lang w:val="en-US"/>
        </w:rPr>
        <w:t>(left to right) Consultant to BNP Paribas Chairman of the Jacques de Larosi</w:t>
      </w:r>
      <w:r>
        <w:rPr>
          <w:rFonts w:ascii="Arial" w:hAnsi="Arial" w:cs="Arial" w:hint="eastAsia"/>
          <w:lang w:val="en-US"/>
        </w:rPr>
        <w:t>è</w:t>
      </w:r>
      <w:r>
        <w:rPr>
          <w:rFonts w:ascii="Arial" w:hAnsi="Arial" w:cs="Arial"/>
          <w:lang w:val="en-US"/>
        </w:rPr>
        <w:t xml:space="preserve">re, BNP Paribas Head of International Individual Banking and Financial Services Pierre Mariani, BNP Paribas COO Jean Clamon, </w:t>
      </w:r>
    </w:p>
    <w:p w:rsidR="0063509D" w:rsidRDefault="00DC37E0">
      <w:pPr>
        <w:pStyle w:val="BodyText"/>
        <w:rPr>
          <w:lang w:val="en-US"/>
        </w:rPr>
      </w:pPr>
      <w:r>
        <w:rPr>
          <w:b/>
          <w:bCs/>
          <w:lang w:val="en-US"/>
        </w:rPr>
        <w:t xml:space="preserve">Slide 3. </w:t>
      </w:r>
      <w:r>
        <w:rPr>
          <w:lang w:val="en-US"/>
        </w:rPr>
        <w:t>TEB and BNP Paribas logos</w:t>
      </w:r>
    </w:p>
    <w:p w:rsidR="0063509D" w:rsidRDefault="0063509D">
      <w:pPr>
        <w:pStyle w:val="BodyText"/>
        <w:rPr>
          <w:lang w:val="en-US"/>
        </w:rPr>
      </w:pPr>
    </w:p>
    <w:p w:rsidR="0063509D" w:rsidRDefault="0063509D">
      <w:pPr>
        <w:pStyle w:val="BodyText"/>
        <w:rPr>
          <w:lang w:val="en-US"/>
        </w:rPr>
      </w:pPr>
    </w:p>
    <w:p w:rsidR="0063509D" w:rsidRDefault="00DC37E0">
      <w:pPr>
        <w:pStyle w:val="BodyText"/>
        <w:rPr>
          <w:b/>
          <w:bCs/>
          <w:sz w:val="22"/>
          <w:lang w:val="en-US"/>
        </w:rPr>
      </w:pPr>
      <w:r>
        <w:rPr>
          <w:b/>
          <w:bCs/>
          <w:sz w:val="22"/>
          <w:lang w:val="en-US"/>
        </w:rPr>
        <w:t>For information:</w:t>
      </w:r>
    </w:p>
    <w:p w:rsidR="0063509D" w:rsidRDefault="00DC37E0">
      <w:pPr>
        <w:pStyle w:val="BodyText"/>
        <w:rPr>
          <w:sz w:val="22"/>
          <w:lang w:val="en-US"/>
        </w:rPr>
      </w:pPr>
      <w:r>
        <w:rPr>
          <w:sz w:val="22"/>
          <w:lang w:val="en-US"/>
        </w:rPr>
        <w:t xml:space="preserve">Altan Erüs / Birgül Taşdemir </w:t>
      </w:r>
    </w:p>
    <w:p w:rsidR="0063509D" w:rsidRDefault="00DC37E0">
      <w:pPr>
        <w:pStyle w:val="BodyText"/>
        <w:rPr>
          <w:sz w:val="22"/>
          <w:lang w:val="en-US"/>
        </w:rPr>
      </w:pPr>
      <w:r>
        <w:rPr>
          <w:sz w:val="22"/>
          <w:lang w:val="en-US"/>
        </w:rPr>
        <w:t>Global Tanıtım / (0212) 270 52 32</w:t>
      </w:r>
    </w:p>
    <w:p w:rsidR="0063509D" w:rsidRDefault="00DC37E0">
      <w:pPr>
        <w:pStyle w:val="BodyText"/>
        <w:rPr>
          <w:sz w:val="22"/>
          <w:lang w:val="en-US"/>
        </w:rPr>
      </w:pPr>
      <w:r>
        <w:rPr>
          <w:sz w:val="22"/>
          <w:szCs w:val="24"/>
          <w:lang w:val="en-US"/>
        </w:rPr>
        <w:t>altan.erus@globaltanitim.com</w:t>
      </w:r>
      <w:r>
        <w:rPr>
          <w:sz w:val="22"/>
          <w:lang w:val="en-US"/>
        </w:rPr>
        <w:t xml:space="preserve"> / </w:t>
      </w:r>
      <w:r>
        <w:rPr>
          <w:sz w:val="22"/>
          <w:szCs w:val="24"/>
          <w:lang w:val="en-US"/>
        </w:rPr>
        <w:t>birgul.tasdemir@globaltanitim.com</w:t>
      </w:r>
      <w:r>
        <w:rPr>
          <w:sz w:val="22"/>
          <w:lang w:val="en-US"/>
        </w:rPr>
        <w:t xml:space="preserve"> </w:t>
      </w:r>
    </w:p>
    <w:sectPr w:rsidR="0063509D">
      <w:pgSz w:w="11906" w:h="16838"/>
      <w:pgMar w:top="198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95084"/>
    <w:multiLevelType w:val="hybridMultilevel"/>
    <w:tmpl w:val="18B07372"/>
    <w:lvl w:ilvl="0" w:tplc="041F000F">
      <w:start w:val="1"/>
      <w:numFmt w:val="decimal"/>
      <w:lvlText w:val="%1."/>
      <w:lvlJc w:val="left"/>
      <w:pPr>
        <w:tabs>
          <w:tab w:val="num" w:pos="720"/>
        </w:tabs>
        <w:ind w:left="720" w:hanging="360"/>
      </w:pPr>
      <w:rPr>
        <w:rFonts w:hint="default"/>
      </w:r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B47"/>
    <w:rsid w:val="004D3B47"/>
    <w:rsid w:val="0063509D"/>
    <w:rsid w:val="00DC37E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sz w:val="28"/>
    </w:rPr>
  </w:style>
  <w:style w:type="paragraph" w:styleId="Heading2">
    <w:name w:val="heading 2"/>
    <w:basedOn w:val="Normal"/>
    <w:next w:val="Normal"/>
    <w:qFormat/>
    <w:pPr>
      <w:keepNext/>
      <w:jc w:val="both"/>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Pr>
      <w:rFonts w:ascii="Verdana" w:hAnsi="Verdana" w:hint="default"/>
      <w:color w:val="000000"/>
      <w:sz w:val="15"/>
      <w:szCs w:val="15"/>
      <w:u w:val="single"/>
    </w:rPr>
  </w:style>
  <w:style w:type="paragraph" w:styleId="BodyText">
    <w:name w:val="Body Text"/>
    <w:basedOn w:val="Normal"/>
    <w:semiHidden/>
    <w:pPr>
      <w:jc w:val="both"/>
    </w:pPr>
    <w:rPr>
      <w:rFonts w:ascii="Arial" w:hAnsi="Arial" w:cs="Arial"/>
      <w:color w:val="000000"/>
      <w:szCs w:val="15"/>
    </w:rPr>
  </w:style>
  <w:style w:type="paragraph" w:styleId="BodyText2">
    <w:name w:val="Body Text 2"/>
    <w:basedOn w:val="Normal"/>
    <w:semiHidden/>
    <w:pPr>
      <w:jc w:val="center"/>
    </w:pPr>
    <w:rPr>
      <w:rFonts w:ascii="Arial" w:hAnsi="Arial" w:cs="Arial"/>
      <w:b/>
      <w:bCs/>
      <w:sz w:val="56"/>
    </w:rPr>
  </w:style>
  <w:style w:type="paragraph" w:styleId="BodyText3">
    <w:name w:val="Body Text 3"/>
    <w:basedOn w:val="Normal"/>
    <w:semiHidden/>
    <w:pPr>
      <w:jc w:val="center"/>
    </w:pPr>
    <w:rPr>
      <w:rFonts w:ascii="Arial" w:hAnsi="Arial" w:cs="Arial"/>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sz w:val="28"/>
    </w:rPr>
  </w:style>
  <w:style w:type="paragraph" w:styleId="Heading2">
    <w:name w:val="heading 2"/>
    <w:basedOn w:val="Normal"/>
    <w:next w:val="Normal"/>
    <w:qFormat/>
    <w:pPr>
      <w:keepNext/>
      <w:jc w:val="both"/>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Pr>
      <w:rFonts w:ascii="Verdana" w:hAnsi="Verdana" w:hint="default"/>
      <w:color w:val="000000"/>
      <w:sz w:val="15"/>
      <w:szCs w:val="15"/>
      <w:u w:val="single"/>
    </w:rPr>
  </w:style>
  <w:style w:type="paragraph" w:styleId="BodyText">
    <w:name w:val="Body Text"/>
    <w:basedOn w:val="Normal"/>
    <w:semiHidden/>
    <w:pPr>
      <w:jc w:val="both"/>
    </w:pPr>
    <w:rPr>
      <w:rFonts w:ascii="Arial" w:hAnsi="Arial" w:cs="Arial"/>
      <w:color w:val="000000"/>
      <w:szCs w:val="15"/>
    </w:rPr>
  </w:style>
  <w:style w:type="paragraph" w:styleId="BodyText2">
    <w:name w:val="Body Text 2"/>
    <w:basedOn w:val="Normal"/>
    <w:semiHidden/>
    <w:pPr>
      <w:jc w:val="center"/>
    </w:pPr>
    <w:rPr>
      <w:rFonts w:ascii="Arial" w:hAnsi="Arial" w:cs="Arial"/>
      <w:b/>
      <w:bCs/>
      <w:sz w:val="56"/>
    </w:rPr>
  </w:style>
  <w:style w:type="paragraph" w:styleId="BodyText3">
    <w:name w:val="Body Text 3"/>
    <w:basedOn w:val="Normal"/>
    <w:semiHidden/>
    <w:pPr>
      <w:jc w:val="center"/>
    </w:pPr>
    <w:rPr>
      <w:rFonts w:ascii="Arial" w:hAnsi="Arial" w:cs="Arial"/>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477</Words>
  <Characters>2720</Characters>
  <Application>Microsoft Office Word</Application>
  <DocSecurity>4</DocSecurity>
  <Lines>22</Lines>
  <Paragraphs>6</Paragraphs>
  <ScaleCrop>false</ScaleCrop>
  <Company>BNP Paribas</Company>
  <LinksUpToDate>false</LinksUpToDate>
  <CharactersWithSpaces>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