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411" w:rsidRDefault="00685411">
      <w:pPr>
        <w:tabs>
          <w:tab w:val="left" w:pos="1584"/>
          <w:tab w:val="left" w:pos="5040"/>
          <w:tab w:val="left" w:pos="6192"/>
          <w:tab w:val="left" w:pos="8496"/>
        </w:tabs>
        <w:rPr>
          <w:sz w:val="20"/>
        </w:rPr>
      </w:pPr>
      <w:bookmarkStart w:id="0" w:name="_GoBack"/>
      <w:bookmarkEnd w:id="0"/>
    </w:p>
    <w:p w:rsidR="00685411" w:rsidRDefault="00685411">
      <w:pPr>
        <w:tabs>
          <w:tab w:val="left" w:pos="1584"/>
          <w:tab w:val="left" w:pos="5040"/>
          <w:tab w:val="left" w:pos="6192"/>
          <w:tab w:val="left" w:pos="8496"/>
        </w:tabs>
        <w:rPr>
          <w:sz w:val="20"/>
        </w:rPr>
      </w:pPr>
    </w:p>
    <w:p w:rsidR="00685411" w:rsidRDefault="00685411">
      <w:pPr>
        <w:tabs>
          <w:tab w:val="left" w:pos="1584"/>
          <w:tab w:val="left" w:pos="5040"/>
          <w:tab w:val="left" w:pos="6192"/>
          <w:tab w:val="left" w:pos="8496"/>
        </w:tabs>
        <w:rPr>
          <w:sz w:val="20"/>
        </w:rPr>
      </w:pPr>
    </w:p>
    <w:p w:rsidR="00685411" w:rsidRDefault="00685411">
      <w:pPr>
        <w:tabs>
          <w:tab w:val="left" w:pos="1584"/>
          <w:tab w:val="left" w:pos="5040"/>
          <w:tab w:val="left" w:pos="6192"/>
          <w:tab w:val="left" w:pos="8496"/>
        </w:tabs>
        <w:rPr>
          <w:sz w:val="20"/>
        </w:rPr>
      </w:pPr>
    </w:p>
    <w:p w:rsidR="00685411" w:rsidRDefault="00685411">
      <w:pPr>
        <w:tabs>
          <w:tab w:val="left" w:pos="1584"/>
          <w:tab w:val="left" w:pos="5040"/>
          <w:tab w:val="left" w:pos="6192"/>
          <w:tab w:val="left" w:pos="8496"/>
        </w:tabs>
        <w:rPr>
          <w:sz w:val="20"/>
        </w:rPr>
      </w:pPr>
    </w:p>
    <w:p w:rsidR="00685411" w:rsidRDefault="00685411">
      <w:pPr>
        <w:pStyle w:val="Header"/>
        <w:tabs>
          <w:tab w:val="clear" w:pos="4536"/>
          <w:tab w:val="clear" w:pos="9072"/>
          <w:tab w:val="left" w:pos="1584"/>
          <w:tab w:val="left" w:pos="5040"/>
          <w:tab w:val="left" w:pos="6192"/>
          <w:tab w:val="left" w:pos="8496"/>
        </w:tabs>
        <w:rPr>
          <w:szCs w:val="24"/>
          <w:lang w:eastAsia="en-US"/>
        </w:rPr>
      </w:pPr>
    </w:p>
    <w:p w:rsidR="00685411" w:rsidRDefault="00685411">
      <w:pPr>
        <w:tabs>
          <w:tab w:val="left" w:pos="1584"/>
          <w:tab w:val="left" w:pos="5040"/>
          <w:tab w:val="left" w:pos="6192"/>
          <w:tab w:val="left" w:pos="8496"/>
        </w:tabs>
        <w:rPr>
          <w:sz w:val="20"/>
        </w:rPr>
      </w:pPr>
    </w:p>
    <w:p w:rsidR="00685411" w:rsidRDefault="001405FF">
      <w:pPr>
        <w:jc w:val="center"/>
        <w:rPr>
          <w:rFonts w:ascii="Arial" w:hAnsi="Arial" w:cs="Arial"/>
          <w:b/>
          <w:sz w:val="40"/>
          <w:lang w:val="de-DE"/>
        </w:rPr>
      </w:pPr>
      <w:r>
        <w:rPr>
          <w:rFonts w:ascii="Arial" w:hAnsi="Arial" w:cs="Arial"/>
          <w:b/>
          <w:sz w:val="40"/>
          <w:lang w:val="de-DE"/>
        </w:rPr>
        <w:t>Türk Ekonomi Bankası</w:t>
      </w:r>
    </w:p>
    <w:p w:rsidR="00685411" w:rsidRDefault="001405FF">
      <w:pPr>
        <w:jc w:val="center"/>
        <w:rPr>
          <w:rFonts w:ascii="Arial" w:hAnsi="Arial" w:cs="Arial"/>
          <w:b/>
          <w:sz w:val="40"/>
          <w:lang w:val="de-DE"/>
        </w:rPr>
      </w:pPr>
      <w:r>
        <w:rPr>
          <w:rFonts w:ascii="Arial" w:hAnsi="Arial" w:cs="Arial"/>
          <w:b/>
          <w:sz w:val="40"/>
          <w:lang w:val="de-DE"/>
        </w:rPr>
        <w:t>Anonim Şirketi</w:t>
      </w:r>
    </w:p>
    <w:p w:rsidR="00685411" w:rsidRDefault="00685411">
      <w:pPr>
        <w:jc w:val="center"/>
        <w:rPr>
          <w:rFonts w:ascii="Arial" w:hAnsi="Arial" w:cs="Arial"/>
          <w:b/>
          <w:sz w:val="40"/>
          <w:lang w:val="de-DE"/>
        </w:rPr>
      </w:pPr>
    </w:p>
    <w:p w:rsidR="00685411" w:rsidRDefault="001405FF">
      <w:pPr>
        <w:pStyle w:val="Heading4"/>
        <w:rPr>
          <w:szCs w:val="24"/>
        </w:rPr>
      </w:pPr>
      <w:r>
        <w:rPr>
          <w:szCs w:val="24"/>
        </w:rPr>
        <w:t>Consolidated Financial Statements</w:t>
      </w:r>
    </w:p>
    <w:p w:rsidR="00685411" w:rsidRDefault="001405FF">
      <w:pPr>
        <w:jc w:val="center"/>
        <w:rPr>
          <w:rFonts w:ascii="Arial" w:hAnsi="Arial" w:cs="Arial"/>
          <w:b/>
          <w:sz w:val="28"/>
        </w:rPr>
      </w:pPr>
      <w:r>
        <w:rPr>
          <w:rFonts w:ascii="Arial" w:hAnsi="Arial" w:cs="Arial"/>
          <w:b/>
          <w:sz w:val="28"/>
        </w:rPr>
        <w:t xml:space="preserve">For The Interim Period Between </w:t>
      </w:r>
    </w:p>
    <w:p w:rsidR="00685411" w:rsidRDefault="001405FF">
      <w:pPr>
        <w:jc w:val="center"/>
        <w:rPr>
          <w:rFonts w:ascii="Arial" w:hAnsi="Arial" w:cs="Arial"/>
          <w:b/>
          <w:sz w:val="28"/>
        </w:rPr>
      </w:pPr>
      <w:r>
        <w:rPr>
          <w:rFonts w:ascii="Arial" w:hAnsi="Arial" w:cs="Arial"/>
          <w:b/>
          <w:sz w:val="28"/>
        </w:rPr>
        <w:t>January 1 - September 30, 2002</w:t>
      </w:r>
    </w:p>
    <w:p w:rsidR="00685411" w:rsidRDefault="001405FF">
      <w:pPr>
        <w:jc w:val="center"/>
        <w:rPr>
          <w:rFonts w:ascii="Arial" w:hAnsi="Arial" w:cs="Arial"/>
          <w:b/>
          <w:sz w:val="28"/>
        </w:rPr>
      </w:pPr>
      <w:r>
        <w:rPr>
          <w:rFonts w:ascii="Arial" w:hAnsi="Arial" w:cs="Arial"/>
          <w:b/>
          <w:sz w:val="28"/>
        </w:rPr>
        <w:t>Together With Review Report</w:t>
      </w:r>
    </w:p>
    <w:p w:rsidR="00685411" w:rsidRDefault="00685411">
      <w:pPr>
        <w:jc w:val="center"/>
        <w:rPr>
          <w:rFonts w:ascii="Arial" w:hAnsi="Arial" w:cs="Arial"/>
          <w:b/>
          <w:sz w:val="28"/>
        </w:rPr>
      </w:pPr>
    </w:p>
    <w:p w:rsidR="00685411" w:rsidRDefault="001405FF">
      <w:pPr>
        <w:jc w:val="center"/>
        <w:rPr>
          <w:rFonts w:ascii="Arial" w:hAnsi="Arial" w:cs="Arial"/>
          <w:sz w:val="28"/>
        </w:rPr>
      </w:pPr>
      <w:r>
        <w:rPr>
          <w:rFonts w:ascii="Arial" w:hAnsi="Arial" w:cs="Arial"/>
          <w:sz w:val="28"/>
        </w:rPr>
        <w:t>(Convenience Translation of A Report And</w:t>
      </w:r>
    </w:p>
    <w:p w:rsidR="00685411" w:rsidRDefault="001405FF">
      <w:pPr>
        <w:jc w:val="center"/>
        <w:rPr>
          <w:rFonts w:ascii="Arial" w:hAnsi="Arial" w:cs="Arial"/>
          <w:sz w:val="28"/>
        </w:rPr>
      </w:pPr>
      <w:r>
        <w:rPr>
          <w:rFonts w:ascii="Arial" w:hAnsi="Arial" w:cs="Arial"/>
          <w:sz w:val="28"/>
        </w:rPr>
        <w:t>Financial Statements Originally Issued</w:t>
      </w:r>
    </w:p>
    <w:p w:rsidR="00685411" w:rsidRDefault="001405FF">
      <w:pPr>
        <w:jc w:val="center"/>
        <w:rPr>
          <w:rFonts w:ascii="Arial" w:hAnsi="Arial" w:cs="Arial"/>
          <w:sz w:val="28"/>
        </w:rPr>
      </w:pPr>
      <w:r>
        <w:rPr>
          <w:rFonts w:ascii="Arial" w:hAnsi="Arial" w:cs="Arial"/>
          <w:sz w:val="28"/>
        </w:rPr>
        <w:t xml:space="preserve">In </w:t>
      </w:r>
      <w:r>
        <w:rPr>
          <w:rFonts w:ascii="Arial" w:hAnsi="Arial" w:cs="Arial"/>
          <w:sz w:val="28"/>
        </w:rPr>
        <w:t>Turkish- See Note 9)</w:t>
      </w:r>
    </w:p>
    <w:p w:rsidR="00685411" w:rsidRDefault="00685411">
      <w:pPr>
        <w:tabs>
          <w:tab w:val="left" w:pos="1584"/>
          <w:tab w:val="left" w:pos="5040"/>
          <w:tab w:val="left" w:pos="6192"/>
          <w:tab w:val="left" w:pos="8496"/>
        </w:tabs>
        <w:rPr>
          <w:b/>
          <w:sz w:val="20"/>
          <w:u w:val="single"/>
        </w:rPr>
      </w:pPr>
    </w:p>
    <w:p w:rsidR="00685411" w:rsidRDefault="00685411">
      <w:pPr>
        <w:tabs>
          <w:tab w:val="left" w:pos="1584"/>
          <w:tab w:val="left" w:pos="5040"/>
          <w:tab w:val="left" w:pos="6192"/>
          <w:tab w:val="left" w:pos="8496"/>
        </w:tabs>
        <w:rPr>
          <w:b/>
          <w:sz w:val="20"/>
          <w:u w:val="single"/>
        </w:rPr>
      </w:pPr>
    </w:p>
    <w:p w:rsidR="00685411" w:rsidRDefault="00685411">
      <w:pPr>
        <w:tabs>
          <w:tab w:val="left" w:pos="1584"/>
          <w:tab w:val="left" w:pos="5040"/>
          <w:tab w:val="left" w:pos="6192"/>
          <w:tab w:val="left" w:pos="8496"/>
        </w:tabs>
        <w:rPr>
          <w:b/>
          <w:sz w:val="20"/>
          <w:u w:val="single"/>
        </w:rPr>
        <w:sectPr w:rsidR="00685411">
          <w:pgSz w:w="11906" w:h="16838"/>
          <w:pgMar w:top="1418" w:right="1418" w:bottom="1418" w:left="1418" w:header="709" w:footer="709" w:gutter="0"/>
          <w:cols w:space="708"/>
          <w:docGrid w:linePitch="360"/>
        </w:sectPr>
      </w:pPr>
    </w:p>
    <w:p w:rsidR="00685411" w:rsidRDefault="00685411">
      <w:pPr>
        <w:pStyle w:val="Header"/>
        <w:tabs>
          <w:tab w:val="clear" w:pos="4536"/>
          <w:tab w:val="clear" w:pos="9072"/>
        </w:tabs>
        <w:rPr>
          <w:szCs w:val="24"/>
          <w:lang w:eastAsia="en-US"/>
        </w:rPr>
      </w:pPr>
    </w:p>
    <w:p w:rsidR="00685411" w:rsidRDefault="00685411">
      <w:pPr>
        <w:rPr>
          <w:sz w:val="20"/>
        </w:rPr>
      </w:pPr>
    </w:p>
    <w:p w:rsidR="00685411" w:rsidRDefault="00685411">
      <w:pPr>
        <w:rPr>
          <w:sz w:val="20"/>
        </w:rPr>
      </w:pPr>
    </w:p>
    <w:p w:rsidR="00685411" w:rsidRDefault="00685411">
      <w:pPr>
        <w:ind w:right="-476"/>
        <w:rPr>
          <w:sz w:val="20"/>
        </w:rPr>
      </w:pPr>
    </w:p>
    <w:p w:rsidR="00685411" w:rsidRDefault="00685411">
      <w:pPr>
        <w:tabs>
          <w:tab w:val="left" w:pos="1584"/>
          <w:tab w:val="left" w:pos="5040"/>
          <w:tab w:val="left" w:pos="6192"/>
          <w:tab w:val="left" w:pos="8496"/>
        </w:tabs>
        <w:jc w:val="both"/>
        <w:rPr>
          <w:rFonts w:ascii="Arial" w:hAnsi="Arial" w:cs="Arial"/>
          <w:b/>
          <w:bCs/>
        </w:rPr>
      </w:pPr>
    </w:p>
    <w:p w:rsidR="00685411" w:rsidRDefault="001405FF">
      <w:pPr>
        <w:tabs>
          <w:tab w:val="left" w:pos="1584"/>
          <w:tab w:val="left" w:pos="5040"/>
          <w:tab w:val="left" w:pos="6192"/>
          <w:tab w:val="left" w:pos="8496"/>
        </w:tabs>
        <w:jc w:val="both"/>
        <w:rPr>
          <w:rFonts w:ascii="Arial" w:hAnsi="Arial" w:cs="Arial"/>
          <w:b/>
          <w:bCs/>
        </w:rPr>
      </w:pPr>
      <w:r>
        <w:rPr>
          <w:rFonts w:ascii="Arial" w:hAnsi="Arial" w:cs="Arial"/>
          <w:b/>
          <w:bCs/>
        </w:rPr>
        <w:t>(Convenience Translation of A Report And Financial Statements</w:t>
      </w:r>
    </w:p>
    <w:p w:rsidR="00685411" w:rsidRDefault="001405FF">
      <w:pPr>
        <w:tabs>
          <w:tab w:val="left" w:pos="1584"/>
          <w:tab w:val="left" w:pos="5040"/>
          <w:tab w:val="left" w:pos="6192"/>
          <w:tab w:val="left" w:pos="8496"/>
        </w:tabs>
        <w:jc w:val="both"/>
        <w:rPr>
          <w:rFonts w:ascii="Arial" w:hAnsi="Arial" w:cs="Arial"/>
          <w:b/>
          <w:bCs/>
        </w:rPr>
      </w:pPr>
      <w:r>
        <w:rPr>
          <w:rFonts w:ascii="Arial" w:hAnsi="Arial" w:cs="Arial"/>
          <w:b/>
          <w:bCs/>
        </w:rPr>
        <w:t>Originally Issued In Turkish- Note 9)</w:t>
      </w:r>
    </w:p>
    <w:p w:rsidR="00685411" w:rsidRDefault="00685411">
      <w:pPr>
        <w:ind w:right="-476"/>
        <w:jc w:val="both"/>
        <w:rPr>
          <w:rFonts w:ascii="Arial" w:hAnsi="Arial" w:cs="Arial"/>
          <w:b/>
          <w:bCs/>
        </w:rPr>
      </w:pPr>
    </w:p>
    <w:p w:rsidR="00685411" w:rsidRDefault="001405FF">
      <w:pPr>
        <w:tabs>
          <w:tab w:val="left" w:pos="1584"/>
        </w:tabs>
        <w:ind w:right="14"/>
        <w:jc w:val="both"/>
        <w:rPr>
          <w:rFonts w:ascii="Arial" w:hAnsi="Arial" w:cs="Arial"/>
          <w:b/>
          <w:bCs/>
        </w:rPr>
      </w:pPr>
      <w:r>
        <w:rPr>
          <w:rFonts w:ascii="Arial" w:hAnsi="Arial" w:cs="Arial"/>
          <w:b/>
          <w:bCs/>
        </w:rPr>
        <w:t xml:space="preserve">TÜRK EKONOMİ BANKASI ANONİM ŞİRKETİ </w:t>
      </w:r>
    </w:p>
    <w:p w:rsidR="00685411" w:rsidRDefault="001405FF">
      <w:pPr>
        <w:tabs>
          <w:tab w:val="left" w:pos="1584"/>
        </w:tabs>
        <w:ind w:right="14"/>
        <w:jc w:val="both"/>
        <w:rPr>
          <w:rFonts w:ascii="Arial" w:hAnsi="Arial" w:cs="Arial"/>
          <w:b/>
          <w:bCs/>
        </w:rPr>
      </w:pPr>
      <w:r>
        <w:rPr>
          <w:rFonts w:ascii="Arial" w:hAnsi="Arial" w:cs="Arial"/>
          <w:b/>
          <w:bCs/>
        </w:rPr>
        <w:t xml:space="preserve">CONSOLIDATED FINANCIAL STATEMENTS FOR THE INTERIM PERIOD BETWEEN </w:t>
      </w:r>
      <w:r>
        <w:rPr>
          <w:rFonts w:ascii="Arial" w:hAnsi="Arial" w:cs="Arial"/>
          <w:b/>
          <w:bCs/>
        </w:rPr>
        <w:t xml:space="preserve">JANUARY 1 - SEPTEMBER 30, 2002 </w:t>
      </w:r>
    </w:p>
    <w:p w:rsidR="00685411" w:rsidRDefault="001405FF">
      <w:pPr>
        <w:tabs>
          <w:tab w:val="left" w:pos="1584"/>
        </w:tabs>
        <w:ind w:right="14"/>
        <w:jc w:val="both"/>
        <w:rPr>
          <w:rFonts w:ascii="Arial" w:hAnsi="Arial" w:cs="Arial"/>
          <w:b/>
          <w:bCs/>
        </w:rPr>
      </w:pPr>
      <w:r>
        <w:rPr>
          <w:rFonts w:ascii="Arial" w:hAnsi="Arial" w:cs="Arial"/>
          <w:b/>
          <w:bCs/>
        </w:rPr>
        <w:t>TOGETHER WITH REVIEW REPORT</w:t>
      </w:r>
    </w:p>
    <w:p w:rsidR="00685411" w:rsidRDefault="00685411">
      <w:pPr>
        <w:ind w:right="22"/>
        <w:rPr>
          <w:sz w:val="20"/>
        </w:rPr>
      </w:pPr>
    </w:p>
    <w:p w:rsidR="00685411" w:rsidRDefault="001405FF">
      <w:pPr>
        <w:ind w:right="-476"/>
        <w:rPr>
          <w:sz w:val="20"/>
        </w:rPr>
      </w:pPr>
      <w:r>
        <w:rPr>
          <w:sz w:val="20"/>
        </w:rPr>
        <w:t>To the Banking Regulation and Supervision</w:t>
      </w:r>
    </w:p>
    <w:p w:rsidR="00685411" w:rsidRDefault="001405FF">
      <w:pPr>
        <w:ind w:right="-476"/>
        <w:rPr>
          <w:sz w:val="20"/>
        </w:rPr>
      </w:pPr>
      <w:r>
        <w:rPr>
          <w:sz w:val="20"/>
        </w:rPr>
        <w:t xml:space="preserve">     Agency and the Board of Directors of</w:t>
      </w:r>
    </w:p>
    <w:p w:rsidR="00685411" w:rsidRDefault="001405FF">
      <w:pPr>
        <w:ind w:right="22"/>
        <w:rPr>
          <w:sz w:val="20"/>
          <w:lang w:val="de-DE"/>
        </w:rPr>
      </w:pPr>
      <w:r>
        <w:rPr>
          <w:sz w:val="20"/>
        </w:rPr>
        <w:t xml:space="preserve">     Türk Ekonomi Bankası A.Ş.</w:t>
      </w:r>
    </w:p>
    <w:p w:rsidR="00685411" w:rsidRDefault="00685411">
      <w:pPr>
        <w:ind w:left="360" w:right="22" w:hanging="360"/>
        <w:rPr>
          <w:sz w:val="20"/>
          <w:lang w:val="de-DE"/>
        </w:rPr>
      </w:pPr>
    </w:p>
    <w:p w:rsidR="00685411" w:rsidRDefault="001405FF">
      <w:pPr>
        <w:tabs>
          <w:tab w:val="left" w:pos="864"/>
          <w:tab w:val="left" w:pos="2160"/>
          <w:tab w:val="left" w:pos="8280"/>
        </w:tabs>
        <w:ind w:right="22"/>
        <w:jc w:val="both"/>
        <w:rPr>
          <w:sz w:val="20"/>
        </w:rPr>
      </w:pPr>
      <w:r>
        <w:rPr>
          <w:sz w:val="20"/>
        </w:rPr>
        <w:t xml:space="preserve">We have reviewed the consolidated balance sheet of Türk Ekonomi Bankası Anonim </w:t>
      </w:r>
      <w:r>
        <w:rPr>
          <w:sz w:val="20"/>
        </w:rPr>
        <w:t xml:space="preserve">Şirketi and financial subsidiaries as of September 30, 2002 and the related consolidated statement of income for the interim period then ended.  These financial statements are the responsibility of the Bank’s management.  Our responsibility as independent </w:t>
      </w:r>
      <w:r>
        <w:rPr>
          <w:sz w:val="20"/>
        </w:rPr>
        <w:t>auditors is to issue a review report on these financial statements based on our review</w:t>
      </w:r>
      <w:r>
        <w:rPr>
          <w:rFonts w:ascii="Arial" w:hAnsi="Arial"/>
        </w:rPr>
        <w:t xml:space="preserve">. </w:t>
      </w:r>
    </w:p>
    <w:p w:rsidR="00685411" w:rsidRDefault="00685411">
      <w:pPr>
        <w:tabs>
          <w:tab w:val="left" w:pos="864"/>
          <w:tab w:val="left" w:pos="2160"/>
          <w:tab w:val="left" w:pos="8280"/>
        </w:tabs>
        <w:ind w:right="22"/>
        <w:jc w:val="both"/>
        <w:rPr>
          <w:sz w:val="20"/>
        </w:rPr>
      </w:pPr>
    </w:p>
    <w:p w:rsidR="00685411" w:rsidRDefault="001405FF">
      <w:pPr>
        <w:tabs>
          <w:tab w:val="left" w:pos="864"/>
          <w:tab w:val="left" w:pos="2160"/>
          <w:tab w:val="left" w:pos="8280"/>
        </w:tabs>
        <w:ind w:right="22"/>
        <w:jc w:val="both"/>
        <w:rPr>
          <w:sz w:val="20"/>
        </w:rPr>
      </w:pPr>
      <w:r>
        <w:rPr>
          <w:sz w:val="20"/>
        </w:rPr>
        <w:t>We conducted our review in accordance with the auditing standards, which were determined by the provisions of Banking Law Number 4389. These standards require that the review should be planned and performed to obtain limited assurance as to whether the fin</w:t>
      </w:r>
      <w:r>
        <w:rPr>
          <w:sz w:val="20"/>
        </w:rPr>
        <w:t>ancial statements are free of material misstatement. A review is limited primarily to inquiries of bank personnel and analytical procedures applied to financial data and thus provide less assurance than an audit. We have not performed an audit and, accordi</w:t>
      </w:r>
      <w:r>
        <w:rPr>
          <w:sz w:val="20"/>
        </w:rPr>
        <w:t xml:space="preserve">ngly we do not express an audit opinion. </w:t>
      </w:r>
    </w:p>
    <w:p w:rsidR="00685411" w:rsidRDefault="00685411">
      <w:pPr>
        <w:tabs>
          <w:tab w:val="left" w:pos="864"/>
          <w:tab w:val="left" w:pos="2160"/>
          <w:tab w:val="left" w:pos="8280"/>
        </w:tabs>
        <w:ind w:right="22"/>
        <w:jc w:val="both"/>
        <w:rPr>
          <w:sz w:val="20"/>
        </w:rPr>
      </w:pPr>
    </w:p>
    <w:p w:rsidR="00685411" w:rsidRDefault="001405FF">
      <w:pPr>
        <w:pStyle w:val="BodyText2"/>
        <w:ind w:right="22"/>
      </w:pPr>
      <w:r>
        <w:t>Based on our review, nothing has come to our attention that causes us to believe that the accompanying interim financial statements as of September 30, 2002 are not presented fairly, in all material respects, in a</w:t>
      </w:r>
      <w:r>
        <w:t>ccordance with the accounting principles and standards that are based on the Article 13 of the Banking Law number 4389.</w:t>
      </w:r>
      <w:r>
        <w:rPr>
          <w:rFonts w:ascii="Arial" w:hAnsi="Arial"/>
        </w:rPr>
        <w:t xml:space="preserve"> </w:t>
      </w:r>
    </w:p>
    <w:p w:rsidR="00685411" w:rsidRDefault="00685411">
      <w:pPr>
        <w:tabs>
          <w:tab w:val="left" w:pos="864"/>
          <w:tab w:val="left" w:pos="2160"/>
          <w:tab w:val="left" w:pos="8280"/>
        </w:tabs>
        <w:ind w:right="22"/>
        <w:jc w:val="both"/>
        <w:rPr>
          <w:sz w:val="20"/>
        </w:rPr>
      </w:pPr>
    </w:p>
    <w:p w:rsidR="00685411" w:rsidRDefault="001405FF">
      <w:pPr>
        <w:tabs>
          <w:tab w:val="left" w:pos="2160"/>
          <w:tab w:val="left" w:pos="8280"/>
        </w:tabs>
        <w:ind w:right="22"/>
        <w:jc w:val="both"/>
        <w:rPr>
          <w:b/>
          <w:sz w:val="20"/>
        </w:rPr>
      </w:pPr>
      <w:r>
        <w:rPr>
          <w:b/>
          <w:sz w:val="20"/>
        </w:rPr>
        <w:t>Additional paragraph for convenience translation to English:</w:t>
      </w:r>
    </w:p>
    <w:p w:rsidR="00685411" w:rsidRDefault="00685411">
      <w:pPr>
        <w:tabs>
          <w:tab w:val="left" w:pos="2160"/>
          <w:tab w:val="left" w:pos="8280"/>
        </w:tabs>
        <w:ind w:right="22"/>
        <w:jc w:val="both"/>
        <w:rPr>
          <w:sz w:val="20"/>
        </w:rPr>
      </w:pPr>
    </w:p>
    <w:p w:rsidR="00685411" w:rsidRDefault="001405FF">
      <w:pPr>
        <w:tabs>
          <w:tab w:val="left" w:pos="-720"/>
        </w:tabs>
        <w:suppressAutoHyphens/>
        <w:ind w:right="22"/>
        <w:jc w:val="both"/>
        <w:rPr>
          <w:sz w:val="20"/>
        </w:rPr>
      </w:pPr>
      <w:r>
        <w:rPr>
          <w:spacing w:val="-2"/>
          <w:sz w:val="20"/>
        </w:rPr>
        <w:t>The above</w:t>
      </w:r>
      <w:r>
        <w:rPr>
          <w:spacing w:val="-2"/>
          <w:sz w:val="20"/>
        </w:rPr>
        <w:t xml:space="preserve"> mentioned accounting principles differ from International Financial Reporting Standards (IFRS) issued by International Accounting Standards Board and so far as such differences apply to the financial statements of the Bank they relate to the format of fin</w:t>
      </w:r>
      <w:r>
        <w:rPr>
          <w:spacing w:val="-2"/>
          <w:sz w:val="20"/>
        </w:rPr>
        <w:t>ancial statements and disclosure requirements, the application of IAS 39 (Financial Instruments - Recognition and Measurement), accounting for deferred taxes and accounting for retirement pay liabilities. Based on the current revisions to accounting polici</w:t>
      </w:r>
      <w:r>
        <w:rPr>
          <w:spacing w:val="-2"/>
          <w:sz w:val="20"/>
        </w:rPr>
        <w:t xml:space="preserve">es applicable to banks in Turkey, the accompanying financial statements are not presented comparatively and are restated for the effects of inflation. </w:t>
      </w:r>
      <w:r>
        <w:rPr>
          <w:sz w:val="20"/>
        </w:rPr>
        <w:t>The effects of the differences between these accounting principles generally accepted in the countries in</w:t>
      </w:r>
      <w:r>
        <w:rPr>
          <w:sz w:val="20"/>
        </w:rPr>
        <w:t xml:space="preserve"> which the accompanying financial statements are to be used and IFRS have not been quantified in the accompanying financial statements.  Accordingly, the accompanying financial statements are not intended to present the financial position and results of op</w:t>
      </w:r>
      <w:r>
        <w:rPr>
          <w:sz w:val="20"/>
        </w:rPr>
        <w:t>erations in accordance with accounting principles generally accepted in the countries of users of the financial statements and IFRS.</w:t>
      </w:r>
    </w:p>
    <w:p w:rsidR="00685411" w:rsidRDefault="00685411">
      <w:pPr>
        <w:tabs>
          <w:tab w:val="left" w:pos="1584"/>
        </w:tabs>
        <w:ind w:right="22"/>
        <w:jc w:val="both"/>
        <w:rPr>
          <w:sz w:val="20"/>
        </w:rPr>
      </w:pPr>
    </w:p>
    <w:p w:rsidR="00685411" w:rsidRDefault="00685411">
      <w:pPr>
        <w:tabs>
          <w:tab w:val="left" w:pos="1584"/>
        </w:tabs>
        <w:ind w:right="22"/>
        <w:jc w:val="both"/>
        <w:rPr>
          <w:sz w:val="20"/>
        </w:rPr>
      </w:pPr>
    </w:p>
    <w:p w:rsidR="00685411" w:rsidRDefault="001405FF">
      <w:pPr>
        <w:tabs>
          <w:tab w:val="center" w:pos="6521"/>
        </w:tabs>
        <w:rPr>
          <w:sz w:val="20"/>
          <w:lang w:val="de-DE"/>
        </w:rPr>
      </w:pPr>
      <w:r>
        <w:rPr>
          <w:sz w:val="20"/>
          <w:lang w:val="de-DE"/>
        </w:rPr>
        <w:t>Güney Serbest Muhasebeci Mali Müşavirlik Anonim Şirketi</w:t>
      </w:r>
    </w:p>
    <w:p w:rsidR="00685411" w:rsidRDefault="001405FF">
      <w:pPr>
        <w:tabs>
          <w:tab w:val="center" w:pos="6521"/>
        </w:tabs>
        <w:rPr>
          <w:sz w:val="20"/>
        </w:rPr>
      </w:pPr>
      <w:r>
        <w:rPr>
          <w:sz w:val="20"/>
        </w:rPr>
        <w:t>An Affiliated Firm of Ernst &amp; Young International</w:t>
      </w:r>
    </w:p>
    <w:p w:rsidR="00685411" w:rsidRDefault="00685411">
      <w:pPr>
        <w:rPr>
          <w:sz w:val="20"/>
        </w:rPr>
      </w:pPr>
    </w:p>
    <w:p w:rsidR="00685411" w:rsidRDefault="00685411">
      <w:pPr>
        <w:rPr>
          <w:sz w:val="20"/>
        </w:rPr>
      </w:pPr>
    </w:p>
    <w:p w:rsidR="00685411" w:rsidRDefault="00685411">
      <w:pPr>
        <w:rPr>
          <w:sz w:val="20"/>
        </w:rPr>
      </w:pPr>
    </w:p>
    <w:p w:rsidR="00685411" w:rsidRDefault="00685411">
      <w:pPr>
        <w:rPr>
          <w:sz w:val="20"/>
        </w:rPr>
      </w:pPr>
    </w:p>
    <w:p w:rsidR="00685411" w:rsidRDefault="001405FF">
      <w:pPr>
        <w:tabs>
          <w:tab w:val="center" w:pos="6521"/>
        </w:tabs>
        <w:rPr>
          <w:sz w:val="20"/>
          <w:lang w:val="de-DE"/>
        </w:rPr>
      </w:pPr>
      <w:r>
        <w:rPr>
          <w:sz w:val="20"/>
          <w:lang w:val="de-DE"/>
        </w:rPr>
        <w:t xml:space="preserve">Esra Peri, </w:t>
      </w:r>
      <w:r>
        <w:rPr>
          <w:sz w:val="20"/>
          <w:lang w:val="de-DE"/>
        </w:rPr>
        <w:t>SMMM</w:t>
      </w:r>
    </w:p>
    <w:p w:rsidR="00685411" w:rsidRDefault="00685411">
      <w:pPr>
        <w:pStyle w:val="Header"/>
        <w:tabs>
          <w:tab w:val="clear" w:pos="4536"/>
          <w:tab w:val="clear" w:pos="9072"/>
          <w:tab w:val="left" w:pos="1584"/>
        </w:tabs>
        <w:ind w:right="22"/>
        <w:rPr>
          <w:lang w:val="de-DE"/>
        </w:rPr>
      </w:pPr>
    </w:p>
    <w:p w:rsidR="00685411" w:rsidRDefault="00685411">
      <w:pPr>
        <w:pStyle w:val="Header"/>
        <w:tabs>
          <w:tab w:val="clear" w:pos="4536"/>
          <w:tab w:val="clear" w:pos="9072"/>
          <w:tab w:val="left" w:pos="1584"/>
        </w:tabs>
        <w:ind w:right="22"/>
        <w:rPr>
          <w:lang w:val="de-DE"/>
        </w:rPr>
      </w:pPr>
    </w:p>
    <w:p w:rsidR="00685411" w:rsidRDefault="001405FF">
      <w:pPr>
        <w:tabs>
          <w:tab w:val="left" w:pos="1584"/>
        </w:tabs>
        <w:ind w:right="22"/>
        <w:rPr>
          <w:sz w:val="20"/>
        </w:rPr>
      </w:pPr>
      <w:r>
        <w:rPr>
          <w:sz w:val="20"/>
        </w:rPr>
        <w:t>November 1, 2002</w:t>
      </w:r>
    </w:p>
    <w:p w:rsidR="00685411" w:rsidRDefault="001405FF">
      <w:pPr>
        <w:pStyle w:val="Header"/>
        <w:tabs>
          <w:tab w:val="clear" w:pos="4536"/>
          <w:tab w:val="clear" w:pos="9072"/>
          <w:tab w:val="left" w:pos="1584"/>
        </w:tabs>
        <w:ind w:right="22"/>
      </w:pPr>
      <w:r>
        <w:t>Istanbul, Turkey</w:t>
      </w:r>
    </w:p>
    <w:tbl>
      <w:tblPr>
        <w:tblW w:w="9600" w:type="dxa"/>
        <w:tblCellMar>
          <w:left w:w="0" w:type="dxa"/>
          <w:right w:w="0" w:type="dxa"/>
        </w:tblCellMar>
        <w:tblLook w:val="0000" w:firstRow="0" w:lastRow="0" w:firstColumn="0" w:lastColumn="0" w:noHBand="0" w:noVBand="0"/>
      </w:tblPr>
      <w:tblGrid>
        <w:gridCol w:w="796"/>
        <w:gridCol w:w="312"/>
        <w:gridCol w:w="6292"/>
        <w:gridCol w:w="117"/>
        <w:gridCol w:w="49"/>
        <w:gridCol w:w="2034"/>
      </w:tblGrid>
      <w:tr w:rsidR="00685411">
        <w:trPr>
          <w:trHeight w:val="255"/>
        </w:trPr>
        <w:tc>
          <w:tcPr>
            <w:tcW w:w="9600" w:type="dxa"/>
            <w:gridSpan w:val="6"/>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b/>
                <w:bCs/>
                <w:sz w:val="20"/>
                <w:szCs w:val="20"/>
                <w:u w:val="single"/>
              </w:rPr>
            </w:pPr>
            <w:r>
              <w:rPr>
                <w:rFonts w:ascii="Arial TUR" w:hAnsi="Arial TUR" w:cs="Arial TUR"/>
                <w:b/>
                <w:bCs/>
                <w:sz w:val="20"/>
                <w:szCs w:val="20"/>
                <w:u w:val="single"/>
              </w:rPr>
              <w:lastRenderedPageBreak/>
              <w:t>TÜRK EKONOMİ BANKASI A.Ş.</w:t>
            </w:r>
          </w:p>
        </w:tc>
      </w:tr>
      <w:tr w:rsidR="00685411">
        <w:trPr>
          <w:trHeight w:val="255"/>
        </w:trPr>
        <w:tc>
          <w:tcPr>
            <w:tcW w:w="0" w:type="auto"/>
            <w:gridSpan w:val="6"/>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b/>
                <w:bCs/>
                <w:sz w:val="20"/>
                <w:szCs w:val="20"/>
                <w:u w:val="single"/>
              </w:rPr>
            </w:pPr>
            <w:r>
              <w:rPr>
                <w:rFonts w:ascii="Arial TUR" w:hAnsi="Arial TUR" w:cs="Arial TUR"/>
                <w:b/>
                <w:bCs/>
                <w:sz w:val="20"/>
                <w:szCs w:val="20"/>
                <w:u w:val="single"/>
              </w:rPr>
              <w:t>CONSOLIDATED BALANCE SHEET (PARENT)</w:t>
            </w:r>
          </w:p>
        </w:tc>
      </w:tr>
      <w:tr w:rsidR="00685411">
        <w:trPr>
          <w:trHeight w:val="255"/>
        </w:trPr>
        <w:tc>
          <w:tcPr>
            <w:tcW w:w="0" w:type="auto"/>
            <w:gridSpan w:val="6"/>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b/>
                <w:bCs/>
                <w:sz w:val="20"/>
                <w:szCs w:val="20"/>
              </w:rPr>
            </w:pPr>
            <w:r>
              <w:rPr>
                <w:rFonts w:ascii="Arial TUR" w:hAnsi="Arial TUR" w:cs="Arial TUR"/>
                <w:b/>
                <w:bCs/>
                <w:sz w:val="20"/>
                <w:szCs w:val="20"/>
              </w:rPr>
              <w:t>(Currency--Billions of Turkish lira in equivalent purchasing power at September 30, 2002)</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jc w:val="center"/>
              <w:rPr>
                <w:rFonts w:ascii="Arial TUR" w:eastAsia="Arial Unicode MS" w:hAnsi="Arial TUR" w:cs="Arial TUR"/>
                <w:b/>
                <w:bC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MS Sans Serif" w:eastAsia="Arial Unicode MS" w:hAnsi="MS Sans Serif"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MS Sans Serif" w:eastAsia="Arial Unicode MS" w:hAnsi="MS Sans Serif"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MS Sans Serif" w:eastAsia="Arial Unicode MS" w:hAnsi="MS Sans Serif"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MS Sans Serif" w:eastAsia="Arial Unicode MS" w:hAnsi="MS Sans Serif"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MS Sans Serif" w:eastAsia="Arial Unicode MS" w:hAnsi="MS Sans Serif" w:cs="Arial Unicode MS"/>
                <w:sz w:val="20"/>
                <w:szCs w:val="20"/>
              </w:rPr>
            </w:pP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b/>
                <w:bCs/>
                <w:sz w:val="20"/>
                <w:szCs w:val="20"/>
              </w:rPr>
            </w:pPr>
            <w:r>
              <w:rPr>
                <w:rFonts w:ascii="Arial TUR" w:hAnsi="Arial TUR" w:cs="Arial TUR"/>
                <w:b/>
                <w:bCs/>
                <w:sz w:val="20"/>
                <w:szCs w:val="20"/>
              </w:rPr>
              <w:t>Current Period</w:t>
            </w:r>
          </w:p>
        </w:tc>
      </w:tr>
      <w:tr w:rsidR="00685411">
        <w:trPr>
          <w:trHeight w:val="270"/>
        </w:trPr>
        <w:tc>
          <w:tcPr>
            <w:tcW w:w="0" w:type="auto"/>
            <w:tcBorders>
              <w:top w:val="nil"/>
              <w:left w:val="nil"/>
              <w:bottom w:val="single" w:sz="8"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w:t>
            </w:r>
          </w:p>
        </w:tc>
        <w:tc>
          <w:tcPr>
            <w:tcW w:w="0" w:type="auto"/>
            <w:gridSpan w:val="2"/>
            <w:tcBorders>
              <w:top w:val="nil"/>
              <w:left w:val="nil"/>
              <w:bottom w:val="single" w:sz="8"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b/>
                <w:bCs/>
                <w:sz w:val="20"/>
                <w:szCs w:val="20"/>
              </w:rPr>
            </w:pPr>
            <w:r>
              <w:rPr>
                <w:rFonts w:ascii="Arial TUR" w:hAnsi="Arial TUR" w:cs="Arial TUR"/>
                <w:b/>
                <w:bCs/>
                <w:sz w:val="20"/>
                <w:szCs w:val="20"/>
              </w:rPr>
              <w:t>ASSETS</w:t>
            </w:r>
          </w:p>
        </w:tc>
        <w:tc>
          <w:tcPr>
            <w:tcW w:w="0" w:type="auto"/>
            <w:tcBorders>
              <w:top w:val="nil"/>
              <w:left w:val="nil"/>
              <w:bottom w:val="single" w:sz="8"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b/>
                <w:bCs/>
                <w:sz w:val="20"/>
                <w:szCs w:val="20"/>
              </w:rPr>
            </w:pPr>
            <w:r>
              <w:rPr>
                <w:rFonts w:ascii="Arial TUR" w:hAnsi="Arial TUR" w:cs="Arial TUR"/>
                <w:b/>
                <w:bCs/>
                <w:sz w:val="20"/>
                <w:szCs w:val="20"/>
              </w:rPr>
              <w:t>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0000FF"/>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b/>
                <w:bCs/>
                <w:sz w:val="20"/>
                <w:szCs w:val="20"/>
              </w:rPr>
            </w:pPr>
            <w:r>
              <w:rPr>
                <w:rFonts w:ascii="Arial TUR" w:hAnsi="Arial TUR" w:cs="Arial TUR"/>
                <w:b/>
                <w:bCs/>
                <w:sz w:val="20"/>
                <w:szCs w:val="20"/>
              </w:rPr>
              <w:t>( 30/09/2002)</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CASH</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72,121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Vault (Cash in TL)</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570"/>
              <w:jc w:val="right"/>
              <w:rPr>
                <w:rFonts w:ascii="Arial TUR" w:eastAsia="Arial Unicode MS" w:hAnsi="Arial TUR" w:cs="Arial TUR"/>
                <w:sz w:val="20"/>
                <w:szCs w:val="20"/>
              </w:rPr>
            </w:pPr>
            <w:r>
              <w:rPr>
                <w:rFonts w:ascii="Arial TUR" w:hAnsi="Arial TUR" w:cs="Arial TUR"/>
                <w:sz w:val="20"/>
                <w:szCs w:val="20"/>
              </w:rPr>
              <w:t>7,728</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Effective Depot (Cash in Foreign Currency)</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570"/>
              <w:jc w:val="right"/>
              <w:rPr>
                <w:rFonts w:ascii="Arial TUR" w:eastAsia="Arial Unicode MS" w:hAnsi="Arial TUR" w:cs="Arial TUR"/>
                <w:sz w:val="20"/>
                <w:szCs w:val="20"/>
              </w:rPr>
            </w:pPr>
            <w:r>
              <w:rPr>
                <w:rFonts w:ascii="Arial TUR" w:hAnsi="Arial TUR" w:cs="Arial TUR"/>
                <w:sz w:val="20"/>
                <w:szCs w:val="20"/>
              </w:rPr>
              <w:t>64,370</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C.</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Others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570"/>
              <w:jc w:val="right"/>
              <w:rPr>
                <w:rFonts w:ascii="Arial TUR" w:eastAsia="Arial Unicode MS" w:hAnsi="Arial TUR" w:cs="Arial TUR"/>
                <w:sz w:val="20"/>
                <w:szCs w:val="20"/>
              </w:rPr>
            </w:pPr>
            <w:r>
              <w:rPr>
                <w:rFonts w:ascii="Arial TUR" w:hAnsi="Arial TUR" w:cs="Arial TUR"/>
                <w:sz w:val="20"/>
                <w:szCs w:val="20"/>
              </w:rPr>
              <w:t>23</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BANKS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1,020,282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Central Bank of Turkey</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9,510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Others Bank</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1,010,772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 Local Banks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174,121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 Foreign Banks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836,651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OTHER FINANCIAL INSTITUTIONS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9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IV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INTERBANK FUNDS SOLD</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642,049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V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MARKETABLE SECURITIES [Net]</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38,369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Government Bonds and Treasury Bills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38,137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Private Sector Bonds and Bills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C.</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Share Certificates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D.</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Other Marketable Securities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232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VI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LOANS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1,223,592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Short-term</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570"/>
              <w:jc w:val="right"/>
              <w:rPr>
                <w:rFonts w:ascii="Arial TUR" w:eastAsia="Arial Unicode MS" w:hAnsi="Arial TUR" w:cs="Arial TUR"/>
                <w:sz w:val="20"/>
                <w:szCs w:val="20"/>
              </w:rPr>
            </w:pPr>
            <w:r>
              <w:rPr>
                <w:rFonts w:ascii="Arial TUR" w:hAnsi="Arial TUR" w:cs="Arial TUR"/>
                <w:sz w:val="20"/>
                <w:szCs w:val="20"/>
              </w:rPr>
              <w:t>1,054,678</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Medium and Long-Term</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570"/>
              <w:jc w:val="right"/>
              <w:rPr>
                <w:rFonts w:ascii="Arial TUR" w:eastAsia="Arial Unicode MS" w:hAnsi="Arial TUR" w:cs="Arial TUR"/>
                <w:sz w:val="20"/>
                <w:szCs w:val="20"/>
              </w:rPr>
            </w:pPr>
            <w:r>
              <w:rPr>
                <w:rFonts w:ascii="Arial TUR" w:hAnsi="Arial TUR" w:cs="Arial TUR"/>
                <w:sz w:val="20"/>
                <w:szCs w:val="20"/>
              </w:rPr>
              <w:t>168,914</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VII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FACTORING RECEIVABLES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ind w:right="570"/>
              <w:jc w:val="right"/>
              <w:rPr>
                <w:rFonts w:ascii="Arial TUR" w:eastAsia="Arial Unicode MS" w:hAnsi="Arial TUR" w:cs="Arial TUR"/>
                <w:sz w:val="20"/>
                <w:szCs w:val="20"/>
              </w:rPr>
            </w:pPr>
            <w:r>
              <w:rPr>
                <w:rFonts w:ascii="Arial TUR" w:hAnsi="Arial TUR" w:cs="Arial TUR"/>
                <w:sz w:val="20"/>
                <w:szCs w:val="20"/>
              </w:rPr>
              <w:t>51,807</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VIII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LEASING RECEIVABLES (Net)</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63,457</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Leasing Receivables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570"/>
              <w:jc w:val="right"/>
              <w:rPr>
                <w:rFonts w:ascii="Arial TUR" w:eastAsia="Arial Unicode MS" w:hAnsi="Arial TUR" w:cs="Arial TUR"/>
                <w:sz w:val="20"/>
                <w:szCs w:val="20"/>
              </w:rPr>
            </w:pPr>
            <w:r>
              <w:rPr>
                <w:rFonts w:ascii="Arial TUR" w:hAnsi="Arial TUR" w:cs="Arial TUR"/>
                <w:sz w:val="20"/>
                <w:szCs w:val="20"/>
              </w:rPr>
              <w:t>71,604</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Unearned Income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685411" w:rsidRDefault="001405FF">
            <w:pPr>
              <w:ind w:right="570"/>
              <w:jc w:val="right"/>
              <w:rPr>
                <w:rFonts w:ascii="Arial TUR" w:eastAsia="Arial Unicode MS" w:hAnsi="Arial TUR" w:cs="Arial TUR"/>
                <w:sz w:val="20"/>
                <w:szCs w:val="20"/>
              </w:rPr>
            </w:pPr>
            <w:r>
              <w:rPr>
                <w:rFonts w:ascii="Arial TUR" w:hAnsi="Arial TUR" w:cs="Arial TUR"/>
                <w:sz w:val="20"/>
                <w:szCs w:val="20"/>
              </w:rPr>
              <w:t>(8,147)</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IX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RECEIVABLES IN FOLLOW-UP, [Net]</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5,124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Loans Under Follow-up</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20,528 </w:t>
            </w:r>
          </w:p>
        </w:tc>
      </w:tr>
      <w:tr w:rsidR="00685411">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685411"/>
        </w:tc>
      </w:tr>
      <w:tr w:rsidR="00685411">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685411"/>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Specific Reserve Provided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(15,404)</w:t>
            </w:r>
          </w:p>
        </w:tc>
      </w:tr>
      <w:tr w:rsidR="00685411">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685411"/>
        </w:tc>
      </w:tr>
      <w:tr w:rsidR="00685411">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685411"/>
        </w:tc>
      </w:tr>
      <w:tr w:rsidR="00685411">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685411"/>
        </w:tc>
      </w:tr>
      <w:tr w:rsidR="00685411">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685411"/>
        </w:tc>
      </w:tr>
      <w:tr w:rsidR="00685411">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685411"/>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X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INTEREST AND OTHER INCOME ACCRUALS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42,802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Loans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29,095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Marketable Securities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1,070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C.</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Others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12,637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XI -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RESERVE DEPOSITS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129,223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Reserve Deposits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129,223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Other Reserves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685411"/>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XII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MISCELLANEOUS RECEIVABLES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390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XIII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UNCONSOLIDATED PARTICIPATIONS, (Net)</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347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Financial Participations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347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Non-financial Participations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XIV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UNCONSOLIDATED SUBSIDIARIES, (Net)</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288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Financial Subsidiaries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288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Non-financial Subsidiaries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XV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LONG-TERM MARKETABLE SECURITIES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70,094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Share Certificates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9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Marketable Securities Subject to Repo Transactions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36,017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C.</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Other Marketable Securities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34,068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XVI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FIXED ASSETS, [Net]</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38,739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Cost</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92,336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Accumulated Depreciation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(53,597)</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XVII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GOODWILL ON CONSOLIDATION</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275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XVIII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OTHER ASSETS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38,884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r>
      <w:tr w:rsidR="00685411">
        <w:trPr>
          <w:trHeight w:val="270"/>
        </w:trPr>
        <w:tc>
          <w:tcPr>
            <w:tcW w:w="0" w:type="auto"/>
            <w:tcBorders>
              <w:top w:val="nil"/>
              <w:left w:val="nil"/>
              <w:bottom w:val="single" w:sz="8"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w:t>
            </w:r>
          </w:p>
        </w:tc>
        <w:tc>
          <w:tcPr>
            <w:tcW w:w="0" w:type="auto"/>
            <w:gridSpan w:val="2"/>
            <w:tcBorders>
              <w:top w:val="nil"/>
              <w:left w:val="nil"/>
              <w:bottom w:val="single" w:sz="8"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TOTAL ASSETS</w:t>
            </w:r>
          </w:p>
        </w:tc>
        <w:tc>
          <w:tcPr>
            <w:tcW w:w="0" w:type="auto"/>
            <w:tcBorders>
              <w:top w:val="nil"/>
              <w:left w:val="nil"/>
              <w:bottom w:val="single" w:sz="8"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uble" w:sz="6"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3,437,852 </w:t>
            </w:r>
          </w:p>
        </w:tc>
      </w:tr>
    </w:tbl>
    <w:p w:rsidR="00685411" w:rsidRDefault="00685411">
      <w:pPr>
        <w:ind w:right="22"/>
        <w:rPr>
          <w:sz w:val="20"/>
        </w:rPr>
      </w:pPr>
    </w:p>
    <w:p w:rsidR="00685411" w:rsidRDefault="001405FF">
      <w:pPr>
        <w:ind w:right="22"/>
        <w:rPr>
          <w:sz w:val="20"/>
        </w:rPr>
      </w:pPr>
      <w:r>
        <w:rPr>
          <w:sz w:val="20"/>
        </w:rPr>
        <w:br w:type="page"/>
      </w:r>
    </w:p>
    <w:tbl>
      <w:tblPr>
        <w:tblW w:w="9600" w:type="dxa"/>
        <w:tblCellMar>
          <w:left w:w="0" w:type="dxa"/>
          <w:right w:w="0" w:type="dxa"/>
        </w:tblCellMar>
        <w:tblLook w:val="0000" w:firstRow="0" w:lastRow="0" w:firstColumn="0" w:lastColumn="0" w:noHBand="0" w:noVBand="0"/>
      </w:tblPr>
      <w:tblGrid>
        <w:gridCol w:w="669"/>
        <w:gridCol w:w="364"/>
        <w:gridCol w:w="6534"/>
        <w:gridCol w:w="121"/>
        <w:gridCol w:w="51"/>
        <w:gridCol w:w="2299"/>
      </w:tblGrid>
      <w:tr w:rsidR="00685411">
        <w:trPr>
          <w:trHeight w:val="255"/>
        </w:trPr>
        <w:tc>
          <w:tcPr>
            <w:tcW w:w="9600" w:type="dxa"/>
            <w:gridSpan w:val="6"/>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b/>
                <w:bCs/>
                <w:sz w:val="20"/>
                <w:szCs w:val="20"/>
                <w:u w:val="single"/>
              </w:rPr>
            </w:pPr>
            <w:r>
              <w:rPr>
                <w:rFonts w:ascii="Arial TUR" w:hAnsi="Arial TUR" w:cs="Arial TUR"/>
                <w:b/>
                <w:bCs/>
                <w:sz w:val="20"/>
                <w:szCs w:val="20"/>
                <w:u w:val="single"/>
              </w:rPr>
              <w:t>TÜRK EKONOMİ BANKASI A.Ş.</w:t>
            </w:r>
          </w:p>
        </w:tc>
      </w:tr>
      <w:tr w:rsidR="00685411">
        <w:trPr>
          <w:trHeight w:val="255"/>
        </w:trPr>
        <w:tc>
          <w:tcPr>
            <w:tcW w:w="0" w:type="auto"/>
            <w:gridSpan w:val="6"/>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b/>
                <w:bCs/>
                <w:sz w:val="20"/>
                <w:szCs w:val="20"/>
                <w:u w:val="single"/>
              </w:rPr>
            </w:pPr>
            <w:r>
              <w:rPr>
                <w:rFonts w:ascii="Arial TUR" w:hAnsi="Arial TUR" w:cs="Arial TUR"/>
                <w:b/>
                <w:bCs/>
                <w:sz w:val="20"/>
                <w:szCs w:val="20"/>
                <w:u w:val="single"/>
              </w:rPr>
              <w:t>CONSOLIDATED BALANCE SHEETS (PARENT)</w:t>
            </w:r>
          </w:p>
        </w:tc>
      </w:tr>
      <w:tr w:rsidR="00685411">
        <w:trPr>
          <w:trHeight w:val="255"/>
        </w:trPr>
        <w:tc>
          <w:tcPr>
            <w:tcW w:w="0" w:type="auto"/>
            <w:gridSpan w:val="6"/>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b/>
                <w:bCs/>
                <w:sz w:val="20"/>
                <w:szCs w:val="20"/>
              </w:rPr>
            </w:pPr>
            <w:r>
              <w:rPr>
                <w:rFonts w:ascii="Arial TUR" w:hAnsi="Arial TUR" w:cs="Arial TUR"/>
                <w:b/>
                <w:bCs/>
                <w:sz w:val="20"/>
                <w:szCs w:val="20"/>
              </w:rPr>
              <w:t>(Currency--Billions of Turkish lira in equivalent purchasing power at September 30, 2002)</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jc w:val="center"/>
              <w:rPr>
                <w:rFonts w:ascii="Arial TUR" w:eastAsia="Arial Unicode MS" w:hAnsi="Arial TUR" w:cs="Arial TUR"/>
                <w:b/>
                <w:bC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MS Sans Serif" w:eastAsia="Arial Unicode MS" w:hAnsi="MS Sans Serif"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MS Sans Serif" w:eastAsia="Arial Unicode MS" w:hAnsi="MS Sans Serif"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MS Sans Serif" w:eastAsia="Arial Unicode MS" w:hAnsi="MS Sans Serif"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MS Sans Serif" w:eastAsia="Arial Unicode MS" w:hAnsi="MS Sans Serif"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MS Sans Serif" w:eastAsia="Arial Unicode MS" w:hAnsi="MS Sans Serif" w:cs="Arial Unicode MS"/>
                <w:sz w:val="20"/>
                <w:szCs w:val="20"/>
              </w:rPr>
            </w:pP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b/>
                <w:bCs/>
                <w:sz w:val="20"/>
                <w:szCs w:val="20"/>
              </w:rPr>
            </w:pPr>
            <w:r>
              <w:rPr>
                <w:rFonts w:ascii="Arial TUR" w:hAnsi="Arial TUR" w:cs="Arial TUR"/>
                <w:b/>
                <w:bCs/>
                <w:sz w:val="20"/>
                <w:szCs w:val="20"/>
              </w:rPr>
              <w:t>Current Period</w:t>
            </w:r>
          </w:p>
        </w:tc>
      </w:tr>
      <w:tr w:rsidR="00685411">
        <w:trPr>
          <w:trHeight w:val="270"/>
        </w:trPr>
        <w:tc>
          <w:tcPr>
            <w:tcW w:w="0" w:type="auto"/>
            <w:tcBorders>
              <w:top w:val="nil"/>
              <w:left w:val="nil"/>
              <w:bottom w:val="single" w:sz="8"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w:t>
            </w:r>
          </w:p>
        </w:tc>
        <w:tc>
          <w:tcPr>
            <w:tcW w:w="0" w:type="auto"/>
            <w:gridSpan w:val="2"/>
            <w:tcBorders>
              <w:top w:val="nil"/>
              <w:left w:val="nil"/>
              <w:bottom w:val="single" w:sz="8"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b/>
                <w:bCs/>
                <w:sz w:val="20"/>
                <w:szCs w:val="20"/>
              </w:rPr>
            </w:pPr>
            <w:r>
              <w:rPr>
                <w:rFonts w:ascii="Arial TUR" w:hAnsi="Arial TUR" w:cs="Arial TUR"/>
                <w:b/>
                <w:bCs/>
                <w:sz w:val="20"/>
                <w:szCs w:val="20"/>
              </w:rPr>
              <w:t>LIABILITIES</w:t>
            </w:r>
          </w:p>
        </w:tc>
        <w:tc>
          <w:tcPr>
            <w:tcW w:w="0" w:type="auto"/>
            <w:tcBorders>
              <w:top w:val="nil"/>
              <w:left w:val="nil"/>
              <w:bottom w:val="single" w:sz="8"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b/>
                <w:bCs/>
                <w:sz w:val="20"/>
                <w:szCs w:val="20"/>
              </w:rPr>
            </w:pPr>
            <w:r>
              <w:rPr>
                <w:rFonts w:ascii="Arial TUR" w:hAnsi="Arial TUR" w:cs="Arial TUR"/>
                <w:b/>
                <w:bCs/>
                <w:sz w:val="20"/>
                <w:szCs w:val="20"/>
              </w:rPr>
              <w:t>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0000FF"/>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b/>
                <w:bCs/>
                <w:sz w:val="20"/>
                <w:szCs w:val="20"/>
              </w:rPr>
            </w:pPr>
            <w:r>
              <w:rPr>
                <w:rFonts w:ascii="Arial TUR" w:hAnsi="Arial TUR" w:cs="Arial TUR"/>
                <w:b/>
                <w:bCs/>
                <w:sz w:val="20"/>
                <w:szCs w:val="20"/>
              </w:rPr>
              <w:t>( 30/09/2002)</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DEPOSITS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2,496,457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Saving Deposits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712"/>
              <w:jc w:val="right"/>
              <w:rPr>
                <w:rFonts w:ascii="Arial TUR" w:eastAsia="Arial Unicode MS" w:hAnsi="Arial TUR" w:cs="Arial TUR"/>
                <w:sz w:val="20"/>
                <w:szCs w:val="20"/>
              </w:rPr>
            </w:pPr>
            <w:r>
              <w:rPr>
                <w:rFonts w:ascii="Arial TUR" w:hAnsi="Arial TUR" w:cs="Arial TUR"/>
                <w:sz w:val="20"/>
                <w:szCs w:val="20"/>
              </w:rPr>
              <w:t>101,106</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Certificate of Deposits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712"/>
              <w:jc w:val="right"/>
              <w:rPr>
                <w:rFonts w:ascii="Arial TUR" w:eastAsia="Arial Unicode MS" w:hAnsi="Arial TUR" w:cs="Arial TUR"/>
                <w:sz w:val="20"/>
                <w:szCs w:val="20"/>
              </w:rPr>
            </w:pPr>
            <w:r>
              <w:rPr>
                <w:rFonts w:ascii="Arial TUR" w:hAnsi="Arial TUR" w:cs="Arial TUR"/>
                <w:sz w:val="20"/>
                <w:szCs w:val="20"/>
              </w:rPr>
              <w:t>-</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C.</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Public Institutions Deposits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712"/>
              <w:jc w:val="right"/>
              <w:rPr>
                <w:rFonts w:ascii="Arial TUR" w:eastAsia="Arial Unicode MS" w:hAnsi="Arial TUR" w:cs="Arial TUR"/>
                <w:sz w:val="20"/>
                <w:szCs w:val="20"/>
              </w:rPr>
            </w:pPr>
            <w:r>
              <w:rPr>
                <w:rFonts w:ascii="Arial TUR" w:hAnsi="Arial TUR" w:cs="Arial TUR"/>
                <w:sz w:val="20"/>
                <w:szCs w:val="20"/>
              </w:rPr>
              <w:t>6,360</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D.</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Commercial Deposits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712"/>
              <w:jc w:val="right"/>
              <w:rPr>
                <w:rFonts w:ascii="Arial TUR" w:eastAsia="Arial Unicode MS" w:hAnsi="Arial TUR" w:cs="Arial TUR"/>
                <w:sz w:val="20"/>
                <w:szCs w:val="20"/>
              </w:rPr>
            </w:pPr>
            <w:r>
              <w:rPr>
                <w:rFonts w:ascii="Arial TUR" w:hAnsi="Arial TUR" w:cs="Arial TUR"/>
                <w:sz w:val="20"/>
                <w:szCs w:val="20"/>
              </w:rPr>
              <w:t>151,567</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Other Institutions Deposits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712"/>
              <w:jc w:val="right"/>
              <w:rPr>
                <w:rFonts w:ascii="Arial TUR" w:eastAsia="Arial Unicode MS" w:hAnsi="Arial TUR" w:cs="Arial TUR"/>
                <w:sz w:val="20"/>
                <w:szCs w:val="20"/>
              </w:rPr>
            </w:pPr>
            <w:r>
              <w:rPr>
                <w:rFonts w:ascii="Arial TUR" w:hAnsi="Arial TUR" w:cs="Arial TUR"/>
                <w:sz w:val="20"/>
                <w:szCs w:val="20"/>
              </w:rPr>
              <w:t>29,038</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F.</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Banking Deposits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712"/>
              <w:jc w:val="right"/>
              <w:rPr>
                <w:rFonts w:ascii="Arial TUR" w:eastAsia="Arial Unicode MS" w:hAnsi="Arial TUR" w:cs="Arial TUR"/>
                <w:sz w:val="20"/>
                <w:szCs w:val="20"/>
              </w:rPr>
            </w:pPr>
            <w:r>
              <w:rPr>
                <w:rFonts w:ascii="Arial TUR" w:hAnsi="Arial TUR" w:cs="Arial TUR"/>
                <w:sz w:val="20"/>
                <w:szCs w:val="20"/>
              </w:rPr>
              <w:t>38,387</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G.</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Foreign Currency Deposits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712"/>
              <w:jc w:val="right"/>
              <w:rPr>
                <w:rFonts w:ascii="Arial TUR" w:eastAsia="Arial Unicode MS" w:hAnsi="Arial TUR" w:cs="Arial TUR"/>
                <w:sz w:val="20"/>
                <w:szCs w:val="20"/>
              </w:rPr>
            </w:pPr>
            <w:r>
              <w:rPr>
                <w:rFonts w:ascii="Arial TUR" w:hAnsi="Arial TUR" w:cs="Arial TUR"/>
                <w:sz w:val="20"/>
                <w:szCs w:val="20"/>
              </w:rPr>
              <w:t>2,149,219</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H.</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Gold Account Deposits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712"/>
              <w:jc w:val="right"/>
              <w:rPr>
                <w:rFonts w:ascii="Arial TUR" w:eastAsia="Arial Unicode MS" w:hAnsi="Arial TUR" w:cs="Arial TUR"/>
                <w:sz w:val="20"/>
                <w:szCs w:val="20"/>
              </w:rPr>
            </w:pPr>
            <w:r>
              <w:rPr>
                <w:rFonts w:ascii="Arial TUR" w:hAnsi="Arial TUR" w:cs="Arial TUR"/>
                <w:sz w:val="20"/>
                <w:szCs w:val="20"/>
              </w:rPr>
              <w:t>20,780</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II -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INTERBANK FUNDS BORROWED</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FUNDS BORROWED UNDER SECURITIES REPURCHASE AGREEMENTS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40,393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IV -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FUNDS BORROWED</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457,871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Funds Borrowed from Central Bank of Turkey</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Other Funds Borrowed</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457,871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 Local Banks and Institutions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685411" w:rsidRDefault="001405FF">
            <w:pPr>
              <w:ind w:right="841"/>
              <w:jc w:val="right"/>
              <w:rPr>
                <w:rFonts w:ascii="Arial TUR" w:eastAsia="Arial Unicode MS" w:hAnsi="Arial TUR" w:cs="Arial TUR"/>
                <w:sz w:val="20"/>
                <w:szCs w:val="20"/>
              </w:rPr>
            </w:pPr>
            <w:r>
              <w:rPr>
                <w:rFonts w:ascii="Arial TUR" w:hAnsi="Arial TUR" w:cs="Arial TUR"/>
                <w:sz w:val="20"/>
                <w:szCs w:val="20"/>
              </w:rPr>
              <w:t>28,448</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 Foreign Banks and Institutions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685411" w:rsidRDefault="001405FF">
            <w:pPr>
              <w:ind w:right="841"/>
              <w:jc w:val="right"/>
              <w:rPr>
                <w:rFonts w:ascii="Arial TUR" w:eastAsia="Arial Unicode MS" w:hAnsi="Arial TUR" w:cs="Arial TUR"/>
                <w:sz w:val="20"/>
                <w:szCs w:val="20"/>
              </w:rPr>
            </w:pPr>
            <w:r>
              <w:rPr>
                <w:rFonts w:ascii="Arial TUR" w:hAnsi="Arial TUR" w:cs="Arial TUR"/>
                <w:sz w:val="20"/>
                <w:szCs w:val="20"/>
              </w:rPr>
              <w:t>404,666</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 Share Capital Advances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685411" w:rsidRDefault="001405FF">
            <w:pPr>
              <w:ind w:right="841"/>
              <w:jc w:val="right"/>
              <w:rPr>
                <w:rFonts w:ascii="Arial TUR" w:eastAsia="Arial Unicode MS" w:hAnsi="Arial TUR" w:cs="Arial TUR"/>
                <w:sz w:val="20"/>
                <w:szCs w:val="20"/>
              </w:rPr>
            </w:pPr>
            <w:r>
              <w:rPr>
                <w:rFonts w:ascii="Arial TUR" w:hAnsi="Arial TUR" w:cs="Arial TUR"/>
                <w:sz w:val="20"/>
                <w:szCs w:val="20"/>
              </w:rPr>
              <w:t>24,757</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V -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FACTORING PAYABLES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ind w:right="841"/>
              <w:jc w:val="right"/>
              <w:rPr>
                <w:rFonts w:ascii="Arial TUR" w:eastAsia="Arial Unicode MS" w:hAnsi="Arial TUR" w:cs="Arial TUR"/>
                <w:sz w:val="20"/>
                <w:szCs w:val="20"/>
              </w:rPr>
            </w:pPr>
            <w:r>
              <w:rPr>
                <w:rFonts w:ascii="Arial TUR" w:hAnsi="Arial TUR" w:cs="Arial TUR"/>
                <w:sz w:val="20"/>
                <w:szCs w:val="20"/>
              </w:rPr>
              <w:t>17,290</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VI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FINANCIAL LEASE PAYABLES (Net)</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Financial Lease Payables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Deferred </w:t>
            </w:r>
            <w:r>
              <w:rPr>
                <w:rFonts w:ascii="Arial TUR" w:hAnsi="Arial TUR" w:cs="Arial TUR"/>
                <w:sz w:val="20"/>
                <w:szCs w:val="20"/>
              </w:rPr>
              <w:t>Financial Lease Expenses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VII -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BONDS ISSUED (Net)</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Bonds and Bills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Asset Backed Securities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C.</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Other Marketable Securities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VIII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INTEREST AND OTHER EXPENSE ACCRUALS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25,398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Deposits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841"/>
              <w:jc w:val="right"/>
              <w:rPr>
                <w:rFonts w:ascii="Arial TUR" w:eastAsia="Arial Unicode MS" w:hAnsi="Arial TUR" w:cs="Arial TUR"/>
                <w:sz w:val="20"/>
                <w:szCs w:val="20"/>
              </w:rPr>
            </w:pPr>
            <w:r>
              <w:rPr>
                <w:rFonts w:ascii="Arial TUR" w:hAnsi="Arial TUR" w:cs="Arial TUR"/>
                <w:sz w:val="20"/>
                <w:szCs w:val="20"/>
              </w:rPr>
              <w:t>15,405</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Funds Borrowed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841"/>
              <w:jc w:val="right"/>
              <w:rPr>
                <w:rFonts w:ascii="Arial TUR" w:eastAsia="Arial Unicode MS" w:hAnsi="Arial TUR" w:cs="Arial TUR"/>
                <w:sz w:val="20"/>
                <w:szCs w:val="20"/>
              </w:rPr>
            </w:pPr>
            <w:r>
              <w:rPr>
                <w:rFonts w:ascii="Arial TUR" w:hAnsi="Arial TUR" w:cs="Arial TUR"/>
                <w:sz w:val="20"/>
                <w:szCs w:val="20"/>
              </w:rPr>
              <w:t>4,950</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C.</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Other</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841"/>
              <w:jc w:val="right"/>
              <w:rPr>
                <w:rFonts w:ascii="Arial TUR" w:eastAsia="Arial Unicode MS" w:hAnsi="Arial TUR" w:cs="Arial TUR"/>
                <w:sz w:val="20"/>
                <w:szCs w:val="20"/>
              </w:rPr>
            </w:pPr>
            <w:r>
              <w:rPr>
                <w:rFonts w:ascii="Arial TUR" w:hAnsi="Arial TUR" w:cs="Arial TUR"/>
                <w:sz w:val="20"/>
                <w:szCs w:val="20"/>
              </w:rPr>
              <w:t>5,043</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IX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TAXES AND FUNDS PAYABLES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ind w:right="841"/>
              <w:jc w:val="right"/>
              <w:rPr>
                <w:rFonts w:ascii="Arial TUR" w:eastAsia="Arial Unicode MS" w:hAnsi="Arial TUR" w:cs="Arial TUR"/>
                <w:sz w:val="20"/>
                <w:szCs w:val="20"/>
              </w:rPr>
            </w:pPr>
            <w:r>
              <w:rPr>
                <w:rFonts w:ascii="Arial TUR" w:hAnsi="Arial TUR" w:cs="Arial TUR"/>
                <w:sz w:val="20"/>
                <w:szCs w:val="20"/>
              </w:rPr>
              <w:t>7,500</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X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IMPORT TRANSFER ORDERS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ind w:right="841"/>
              <w:jc w:val="right"/>
              <w:rPr>
                <w:rFonts w:ascii="Arial TUR" w:eastAsia="Arial Unicode MS" w:hAnsi="Arial TUR" w:cs="Arial TUR"/>
                <w:sz w:val="20"/>
                <w:szCs w:val="20"/>
              </w:rPr>
            </w:pPr>
            <w:r>
              <w:rPr>
                <w:rFonts w:ascii="Arial TUR" w:hAnsi="Arial TUR" w:cs="Arial TUR"/>
                <w:sz w:val="20"/>
                <w:szCs w:val="20"/>
              </w:rPr>
              <w:t>2,811</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XI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MISCELLANEOUS PAYABLES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ind w:right="841"/>
              <w:jc w:val="right"/>
              <w:rPr>
                <w:rFonts w:ascii="Arial TUR" w:eastAsia="Arial Unicode MS" w:hAnsi="Arial TUR" w:cs="Arial TUR"/>
                <w:sz w:val="20"/>
                <w:szCs w:val="20"/>
              </w:rPr>
            </w:pPr>
            <w:r>
              <w:rPr>
                <w:rFonts w:ascii="Arial TUR" w:hAnsi="Arial TUR" w:cs="Arial TUR"/>
                <w:sz w:val="20"/>
                <w:szCs w:val="20"/>
              </w:rPr>
              <w:t>42,265</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XII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RESERVES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33,524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Reserve for Retirement Pay Liability</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841"/>
              <w:jc w:val="right"/>
              <w:rPr>
                <w:rFonts w:ascii="Arial TUR" w:eastAsia="Arial Unicode MS" w:hAnsi="Arial TUR" w:cs="Arial TUR"/>
                <w:sz w:val="20"/>
                <w:szCs w:val="20"/>
              </w:rPr>
            </w:pPr>
            <w:r>
              <w:rPr>
                <w:rFonts w:ascii="Arial TUR" w:hAnsi="Arial TUR" w:cs="Arial TUR"/>
                <w:sz w:val="20"/>
                <w:szCs w:val="20"/>
              </w:rPr>
              <w:t>1,662</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General Reserve for Possible Loan Losses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841"/>
              <w:jc w:val="right"/>
              <w:rPr>
                <w:rFonts w:ascii="Arial TUR" w:eastAsia="Arial Unicode MS" w:hAnsi="Arial TUR" w:cs="Arial TUR"/>
                <w:sz w:val="20"/>
                <w:szCs w:val="20"/>
              </w:rPr>
            </w:pPr>
            <w:r>
              <w:rPr>
                <w:rFonts w:ascii="Arial TUR" w:hAnsi="Arial TUR" w:cs="Arial TUR"/>
                <w:sz w:val="20"/>
                <w:szCs w:val="20"/>
              </w:rPr>
              <w:t>5,674</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C.</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Reserve for Taxes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841"/>
              <w:jc w:val="right"/>
              <w:rPr>
                <w:rFonts w:ascii="Arial TUR" w:eastAsia="Arial Unicode MS" w:hAnsi="Arial TUR" w:cs="Arial TUR"/>
                <w:sz w:val="20"/>
                <w:szCs w:val="20"/>
              </w:rPr>
            </w:pPr>
            <w:r>
              <w:rPr>
                <w:rFonts w:ascii="Arial TUR" w:hAnsi="Arial TUR" w:cs="Arial TUR"/>
                <w:sz w:val="20"/>
                <w:szCs w:val="20"/>
              </w:rPr>
              <w:t>19,275</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D.</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Other Reserves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841"/>
              <w:jc w:val="right"/>
              <w:rPr>
                <w:rFonts w:ascii="Arial TUR" w:eastAsia="Arial Unicode MS" w:hAnsi="Arial TUR" w:cs="Arial TUR"/>
                <w:sz w:val="20"/>
                <w:szCs w:val="20"/>
              </w:rPr>
            </w:pPr>
            <w:r>
              <w:rPr>
                <w:rFonts w:ascii="Arial TUR" w:hAnsi="Arial TUR" w:cs="Arial TUR"/>
                <w:sz w:val="20"/>
                <w:szCs w:val="20"/>
              </w:rPr>
              <w:t>375</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Technical </w:t>
            </w:r>
            <w:r>
              <w:rPr>
                <w:rFonts w:ascii="Arial TUR" w:hAnsi="Arial TUR" w:cs="Arial TUR"/>
                <w:sz w:val="20"/>
                <w:szCs w:val="20"/>
              </w:rPr>
              <w:t>Insurance Reserves (Net)</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841"/>
              <w:jc w:val="right"/>
              <w:rPr>
                <w:rFonts w:ascii="Arial TUR" w:eastAsia="Arial Unicode MS" w:hAnsi="Arial TUR" w:cs="Arial TUR"/>
                <w:sz w:val="20"/>
                <w:szCs w:val="20"/>
              </w:rPr>
            </w:pPr>
            <w:r>
              <w:rPr>
                <w:rFonts w:ascii="Arial TUR" w:hAnsi="Arial TUR" w:cs="Arial TUR"/>
                <w:sz w:val="20"/>
                <w:szCs w:val="20"/>
              </w:rPr>
              <w:t>6,538</w:t>
            </w:r>
          </w:p>
        </w:tc>
      </w:tr>
      <w:tr w:rsidR="00685411">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685411"/>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XIII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SHARE OF UNCONSOLIDATED PARTICIPATIONS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17,895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XIV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OTHER LIABILITIES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62,709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XV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SHAREHOLDERS' EQUITY</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485,242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Paid-in Capital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55,125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jc w:val="cente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 Nominal Capital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55,125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jc w:val="cente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 Unpaid Capital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Reserves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424,318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jc w:val="cente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1) Legal Reserves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51,060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jc w:val="cente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w:eastAsia="Arial Unicode MS" w:hAnsi="Arial" w:cs="Arial"/>
                <w:sz w:val="20"/>
                <w:szCs w:val="20"/>
              </w:rPr>
            </w:pPr>
            <w:r>
              <w:rPr>
                <w:rFonts w:ascii="Arial" w:hAnsi="Arial" w:cs="Arial"/>
                <w:sz w:val="20"/>
                <w:szCs w:val="20"/>
              </w:rPr>
              <w:t>2) Effect of Inflation Accounting on Share Capital</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373,258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C.</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Revaluation Funds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D.</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Valuation Differences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5,271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Negative Consolidation Goodwill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528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XVI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PROFIT AND LOSS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(251,503)</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Current Period </w:t>
            </w:r>
            <w:r>
              <w:rPr>
                <w:rFonts w:ascii="Arial TUR" w:hAnsi="Arial TUR" w:cs="Arial TUR"/>
                <w:sz w:val="20"/>
                <w:szCs w:val="20"/>
              </w:rPr>
              <w:t>Profit and Loss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17,201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jc w:val="cente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 Group's Share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16,414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jc w:val="cente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 Minority Share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787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Prior Period Profit and Loss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(268,704)</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jc w:val="cente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 Group's Share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(259,218)</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jc w:val="cente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 Minority Share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(9,486)</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r>
      <w:tr w:rsidR="00685411">
        <w:trPr>
          <w:trHeight w:val="270"/>
        </w:trPr>
        <w:tc>
          <w:tcPr>
            <w:tcW w:w="0" w:type="auto"/>
            <w:tcBorders>
              <w:top w:val="nil"/>
              <w:left w:val="nil"/>
              <w:bottom w:val="single" w:sz="8"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w:t>
            </w:r>
          </w:p>
        </w:tc>
        <w:tc>
          <w:tcPr>
            <w:tcW w:w="0" w:type="auto"/>
            <w:gridSpan w:val="2"/>
            <w:tcBorders>
              <w:top w:val="nil"/>
              <w:left w:val="nil"/>
              <w:bottom w:val="single" w:sz="8"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b/>
                <w:bCs/>
                <w:sz w:val="20"/>
                <w:szCs w:val="20"/>
              </w:rPr>
            </w:pPr>
            <w:r>
              <w:rPr>
                <w:rFonts w:ascii="Arial TUR" w:hAnsi="Arial TUR" w:cs="Arial TUR"/>
                <w:b/>
                <w:bCs/>
                <w:sz w:val="20"/>
                <w:szCs w:val="20"/>
              </w:rPr>
              <w:t>TOTAL LIABILITIES</w:t>
            </w:r>
          </w:p>
        </w:tc>
        <w:tc>
          <w:tcPr>
            <w:tcW w:w="0" w:type="auto"/>
            <w:tcBorders>
              <w:top w:val="nil"/>
              <w:left w:val="nil"/>
              <w:bottom w:val="single" w:sz="8"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b/>
                <w:bCs/>
                <w:sz w:val="20"/>
                <w:szCs w:val="20"/>
              </w:rPr>
            </w:pPr>
            <w:r>
              <w:rPr>
                <w:rFonts w:ascii="Arial TUR" w:hAnsi="Arial TUR" w:cs="Arial TUR"/>
                <w:b/>
                <w:bCs/>
                <w:sz w:val="20"/>
                <w:szCs w:val="20"/>
              </w:rPr>
              <w:t>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uble" w:sz="6"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3,437,852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OFF-BALANCE SHEET OBLIGATIONS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GUARANTEES AND COLLATERALS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934,043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COMMITMENTS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221,749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FOREIGN CURRENCY AND </w:t>
            </w:r>
            <w:r>
              <w:rPr>
                <w:rFonts w:ascii="Arial TUR" w:hAnsi="Arial TUR" w:cs="Arial TUR"/>
                <w:sz w:val="20"/>
                <w:szCs w:val="20"/>
              </w:rPr>
              <w:t>INTEREST RELATED TRANSACTIONS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317,225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IV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OTHER</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1,602,132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r>
      <w:tr w:rsidR="00685411">
        <w:trPr>
          <w:trHeight w:val="270"/>
        </w:trPr>
        <w:tc>
          <w:tcPr>
            <w:tcW w:w="0" w:type="auto"/>
            <w:tcBorders>
              <w:top w:val="nil"/>
              <w:left w:val="nil"/>
              <w:bottom w:val="single" w:sz="8"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w:t>
            </w:r>
          </w:p>
        </w:tc>
        <w:tc>
          <w:tcPr>
            <w:tcW w:w="0" w:type="auto"/>
            <w:gridSpan w:val="2"/>
            <w:tcBorders>
              <w:top w:val="nil"/>
              <w:left w:val="nil"/>
              <w:bottom w:val="single" w:sz="8"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b/>
                <w:bCs/>
                <w:sz w:val="20"/>
                <w:szCs w:val="20"/>
              </w:rPr>
            </w:pPr>
            <w:r>
              <w:rPr>
                <w:rFonts w:ascii="Arial TUR" w:hAnsi="Arial TUR" w:cs="Arial TUR"/>
                <w:b/>
                <w:bCs/>
                <w:sz w:val="20"/>
                <w:szCs w:val="20"/>
              </w:rPr>
              <w:t>TOTAL</w:t>
            </w:r>
          </w:p>
        </w:tc>
        <w:tc>
          <w:tcPr>
            <w:tcW w:w="0" w:type="auto"/>
            <w:tcBorders>
              <w:top w:val="nil"/>
              <w:left w:val="nil"/>
              <w:bottom w:val="single" w:sz="8"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b/>
                <w:bCs/>
                <w:sz w:val="20"/>
                <w:szCs w:val="20"/>
              </w:rPr>
            </w:pPr>
            <w:r>
              <w:rPr>
                <w:rFonts w:ascii="Arial TUR" w:hAnsi="Arial TUR" w:cs="Arial TUR"/>
                <w:b/>
                <w:bCs/>
                <w:sz w:val="20"/>
                <w:szCs w:val="20"/>
              </w:rPr>
              <w:t>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uble" w:sz="6"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3,075,149 </w:t>
            </w:r>
          </w:p>
        </w:tc>
      </w:tr>
    </w:tbl>
    <w:p w:rsidR="00685411" w:rsidRDefault="00685411">
      <w:pPr>
        <w:ind w:right="22"/>
        <w:rPr>
          <w:sz w:val="20"/>
        </w:rPr>
      </w:pPr>
    </w:p>
    <w:p w:rsidR="00685411" w:rsidRDefault="00685411">
      <w:pPr>
        <w:ind w:right="22"/>
        <w:rPr>
          <w:sz w:val="20"/>
        </w:rPr>
      </w:pPr>
    </w:p>
    <w:p w:rsidR="00685411" w:rsidRDefault="001405FF">
      <w:pPr>
        <w:ind w:right="22"/>
        <w:rPr>
          <w:sz w:val="20"/>
        </w:rPr>
      </w:pPr>
      <w:r>
        <w:rPr>
          <w:sz w:val="20"/>
        </w:rPr>
        <w:br w:type="page"/>
      </w:r>
    </w:p>
    <w:tbl>
      <w:tblPr>
        <w:tblW w:w="9600" w:type="dxa"/>
        <w:tblCellMar>
          <w:left w:w="0" w:type="dxa"/>
          <w:right w:w="0" w:type="dxa"/>
        </w:tblCellMar>
        <w:tblLook w:val="0000" w:firstRow="0" w:lastRow="0" w:firstColumn="0" w:lastColumn="0" w:noHBand="0" w:noVBand="0"/>
      </w:tblPr>
      <w:tblGrid>
        <w:gridCol w:w="649"/>
        <w:gridCol w:w="347"/>
        <w:gridCol w:w="6354"/>
        <w:gridCol w:w="52"/>
        <w:gridCol w:w="52"/>
        <w:gridCol w:w="2147"/>
      </w:tblGrid>
      <w:tr w:rsidR="00685411">
        <w:trPr>
          <w:trHeight w:val="255"/>
        </w:trPr>
        <w:tc>
          <w:tcPr>
            <w:tcW w:w="9600" w:type="dxa"/>
            <w:gridSpan w:val="6"/>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b/>
                <w:bCs/>
                <w:sz w:val="20"/>
                <w:szCs w:val="20"/>
                <w:u w:val="single"/>
              </w:rPr>
            </w:pPr>
            <w:r>
              <w:rPr>
                <w:rFonts w:ascii="Arial TUR" w:hAnsi="Arial TUR" w:cs="Arial TUR"/>
                <w:b/>
                <w:bCs/>
                <w:sz w:val="20"/>
                <w:szCs w:val="20"/>
                <w:u w:val="single"/>
              </w:rPr>
              <w:t>TÜRK EKONOMİ BANKASI A.Ş.</w:t>
            </w:r>
          </w:p>
        </w:tc>
      </w:tr>
      <w:tr w:rsidR="00685411">
        <w:trPr>
          <w:trHeight w:val="255"/>
        </w:trPr>
        <w:tc>
          <w:tcPr>
            <w:tcW w:w="0" w:type="auto"/>
            <w:gridSpan w:val="6"/>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b/>
                <w:bCs/>
                <w:sz w:val="20"/>
                <w:szCs w:val="20"/>
                <w:u w:val="single"/>
              </w:rPr>
            </w:pPr>
            <w:r>
              <w:rPr>
                <w:rFonts w:ascii="Arial TUR" w:hAnsi="Arial TUR" w:cs="Arial TUR"/>
                <w:b/>
                <w:bCs/>
                <w:sz w:val="20"/>
                <w:szCs w:val="20"/>
                <w:u w:val="single"/>
              </w:rPr>
              <w:t>CONSOLIDATED STATEMENTS OF INCOME (PARENT)</w:t>
            </w:r>
          </w:p>
        </w:tc>
      </w:tr>
      <w:tr w:rsidR="00685411">
        <w:trPr>
          <w:trHeight w:val="255"/>
        </w:trPr>
        <w:tc>
          <w:tcPr>
            <w:tcW w:w="0" w:type="auto"/>
            <w:gridSpan w:val="6"/>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b/>
                <w:bCs/>
                <w:sz w:val="20"/>
                <w:szCs w:val="20"/>
              </w:rPr>
            </w:pPr>
            <w:r>
              <w:rPr>
                <w:rFonts w:ascii="Arial TUR" w:hAnsi="Arial TUR" w:cs="Arial TUR"/>
                <w:b/>
                <w:bCs/>
                <w:sz w:val="20"/>
                <w:szCs w:val="20"/>
              </w:rPr>
              <w:t xml:space="preserve">(Currency--Billions of Turkish lira in equivalent </w:t>
            </w:r>
            <w:r>
              <w:rPr>
                <w:rFonts w:ascii="Arial TUR" w:hAnsi="Arial TUR" w:cs="Arial TUR"/>
                <w:b/>
                <w:bCs/>
                <w:sz w:val="20"/>
                <w:szCs w:val="20"/>
              </w:rPr>
              <w:t>purchasing power at September 30, 2002)</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jc w:val="center"/>
              <w:rPr>
                <w:rFonts w:ascii="Arial TUR" w:eastAsia="Arial Unicode MS" w:hAnsi="Arial TUR" w:cs="Arial TUR"/>
                <w:b/>
                <w:bC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MS Sans Serif" w:eastAsia="Arial Unicode MS" w:hAnsi="MS Sans Serif"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MS Sans Serif" w:eastAsia="Arial Unicode MS" w:hAnsi="MS Sans Serif"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MS Sans Serif" w:eastAsia="Arial Unicode MS" w:hAnsi="MS Sans Serif"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MS Sans Serif" w:eastAsia="Arial Unicode MS" w:hAnsi="MS Sans Serif" w:cs="Arial Unicode M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MS Sans Serif" w:eastAsia="Arial Unicode MS" w:hAnsi="MS Sans Serif" w:cs="Arial Unicode MS"/>
                <w:sz w:val="20"/>
                <w:szCs w:val="20"/>
              </w:rPr>
            </w:pP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b/>
                <w:bCs/>
                <w:sz w:val="20"/>
                <w:szCs w:val="20"/>
              </w:rPr>
            </w:pPr>
            <w:r>
              <w:rPr>
                <w:rFonts w:ascii="Arial TUR" w:hAnsi="Arial TUR" w:cs="Arial TUR"/>
                <w:b/>
                <w:bCs/>
                <w:sz w:val="20"/>
                <w:szCs w:val="20"/>
              </w:rPr>
              <w:t>Current Period</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b/>
                <w:bC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b/>
                <w:bC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b/>
                <w:bC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0000FF"/>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b/>
                <w:bCs/>
                <w:sz w:val="20"/>
                <w:szCs w:val="20"/>
              </w:rPr>
            </w:pPr>
            <w:r>
              <w:rPr>
                <w:rFonts w:ascii="Arial TUR" w:hAnsi="Arial TUR" w:cs="Arial TUR"/>
                <w:b/>
                <w:bCs/>
                <w:sz w:val="20"/>
                <w:szCs w:val="20"/>
              </w:rPr>
              <w:t>( 30/09/2002)</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INTEREST INCOME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323,189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Interest Income on Loans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140,477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Interest Income on Reserve Deposits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2,826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C.</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Interest Income on Bank Deposits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36,725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D.</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Interest Income on Interbank Funds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64,296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Interest Income on Marketable Securities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53,629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F.</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Other Interest Income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25,236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INTEREST EXPENSE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178,988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Interest Expense on Deposits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119,861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 Saving Deposits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35,853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 Certificate of Deposits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 Public Institutions Deposits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5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4) Commercial Deposits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21,589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5) Other Institutions Deposits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125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6) Banking Deposits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6,055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7) Foreign Currency Deposits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56,135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8) Gold Account Deposits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99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Interest Expense on Interbank Funds Borrowed</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30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C.</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Interest Expense on Funds Borrowed</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35,362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D.</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Interest Expense on Marketable Securities Issued</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Other Interest Expense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23,735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b/>
                <w:bCs/>
                <w:sz w:val="20"/>
                <w:szCs w:val="20"/>
              </w:rPr>
            </w:pPr>
            <w:r>
              <w:rPr>
                <w:rFonts w:ascii="Arial TUR" w:hAnsi="Arial TUR" w:cs="Arial TUR"/>
                <w:b/>
                <w:bCs/>
                <w:sz w:val="20"/>
                <w:szCs w:val="20"/>
              </w:rPr>
              <w:t>NET INTEREST INCOME [I -II]</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uble" w:sz="6"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144,201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IV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NON-INTEREST EXPENSE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286,542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Fees and Commissions Received</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27,457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jc w:val="cente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1) Cash Loans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1,621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jc w:val="cente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2) Non-cash loans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5,205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jc w:val="cente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3) Others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20,631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Gain on Capital Market Transactions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18,677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C.</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Foreign Exchange Gains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221,006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D.</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Dividends from Participation and Subsidiaries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Extraordinary Income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F.</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Other Non-interest Income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19,402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V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NON-INTEREST EXPENSE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357,814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Fees and Commissions Paid</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8,422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jc w:val="cente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1) Cash Loans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1,198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jc w:val="cente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2) Non-cash loans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311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jc w:val="cente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3) Others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6,913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Loss on Capital Market Transactions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11,724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C.</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Foreign Exchange Losses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226,185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D.</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Personnel Expenses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39,442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Provision for Retirement Pay Liability</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793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F.</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Rent Expenses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8,559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G.</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Depreciation </w:t>
            </w:r>
            <w:r>
              <w:rPr>
                <w:rFonts w:ascii="Arial TUR" w:hAnsi="Arial TUR" w:cs="Arial TUR"/>
                <w:sz w:val="20"/>
                <w:szCs w:val="20"/>
              </w:rPr>
              <w:t>Charge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9,116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H.</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Taxes and Funds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9,764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I.</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Extraordinary Expenses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107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J.</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Provision for loans in follow-up</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11,446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K.</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Other Provisions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750"/>
              <w:jc w:val="right"/>
              <w:rPr>
                <w:rFonts w:ascii="Arial TUR" w:eastAsia="Arial Unicode MS" w:hAnsi="Arial TUR" w:cs="Arial TUR"/>
                <w:sz w:val="20"/>
                <w:szCs w:val="20"/>
              </w:rPr>
            </w:pPr>
            <w:r>
              <w:rPr>
                <w:rFonts w:ascii="Arial TUR" w:hAnsi="Arial TUR" w:cs="Arial TUR"/>
                <w:sz w:val="20"/>
                <w:szCs w:val="20"/>
              </w:rPr>
              <w:t>2,366</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L.</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Other Expenses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ind w:right="750"/>
              <w:jc w:val="right"/>
              <w:rPr>
                <w:rFonts w:ascii="Arial TUR" w:eastAsia="Arial Unicode MS" w:hAnsi="Arial TUR" w:cs="Arial TUR"/>
                <w:sz w:val="20"/>
                <w:szCs w:val="20"/>
              </w:rPr>
            </w:pPr>
            <w:r>
              <w:rPr>
                <w:rFonts w:ascii="Arial TUR" w:hAnsi="Arial TUR" w:cs="Arial TUR"/>
                <w:sz w:val="20"/>
                <w:szCs w:val="20"/>
              </w:rPr>
              <w:t>29,890</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VI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b/>
                <w:bCs/>
                <w:sz w:val="20"/>
                <w:szCs w:val="20"/>
              </w:rPr>
            </w:pPr>
            <w:r>
              <w:rPr>
                <w:rFonts w:ascii="Arial TUR" w:hAnsi="Arial TUR" w:cs="Arial TUR"/>
                <w:b/>
                <w:bCs/>
                <w:sz w:val="20"/>
                <w:szCs w:val="20"/>
              </w:rPr>
              <w:t>NET NON-INTEREST EXPENSES [IV -V]</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uble" w:sz="6"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(71,272)</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VII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INCOME BEFORE TAX [III - VI]</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uble" w:sz="6"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72,929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VIII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PROVISION FOR TAXATION</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(19,123)</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IX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NON-CONSOLIDATED SUBSIDIARIES GAIN / (LOSS)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X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NET MONETARY GAIN/(LOSS)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(36,605)</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XI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b/>
                <w:bCs/>
                <w:sz w:val="20"/>
                <w:szCs w:val="20"/>
              </w:rPr>
            </w:pPr>
            <w:r>
              <w:rPr>
                <w:rFonts w:ascii="Arial TUR" w:hAnsi="Arial TUR" w:cs="Arial TUR"/>
                <w:b/>
                <w:bCs/>
                <w:sz w:val="20"/>
                <w:szCs w:val="20"/>
              </w:rPr>
              <w:t>NET INCOME [VII - VIII]</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uble" w:sz="6"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17,201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Group's Share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16,414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Minority Share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787 </w:t>
            </w:r>
          </w:p>
        </w:tc>
      </w:tr>
    </w:tbl>
    <w:p w:rsidR="00685411" w:rsidRDefault="00685411">
      <w:pPr>
        <w:ind w:right="22"/>
        <w:rPr>
          <w:sz w:val="20"/>
        </w:rPr>
      </w:pPr>
    </w:p>
    <w:p w:rsidR="00685411" w:rsidRDefault="001405FF">
      <w:pPr>
        <w:ind w:right="22"/>
        <w:rPr>
          <w:sz w:val="4"/>
        </w:rPr>
      </w:pPr>
      <w:r>
        <w:rPr>
          <w:sz w:val="20"/>
        </w:rPr>
        <w:br w:type="page"/>
      </w:r>
    </w:p>
    <w:tbl>
      <w:tblPr>
        <w:tblW w:w="9600" w:type="dxa"/>
        <w:tblCellMar>
          <w:left w:w="0" w:type="dxa"/>
          <w:right w:w="0" w:type="dxa"/>
        </w:tblCellMar>
        <w:tblLook w:val="0000" w:firstRow="0" w:lastRow="0" w:firstColumn="0" w:lastColumn="0" w:noHBand="0" w:noVBand="0"/>
      </w:tblPr>
      <w:tblGrid>
        <w:gridCol w:w="382"/>
        <w:gridCol w:w="323"/>
        <w:gridCol w:w="6713"/>
        <w:gridCol w:w="48"/>
        <w:gridCol w:w="48"/>
        <w:gridCol w:w="2086"/>
      </w:tblGrid>
      <w:tr w:rsidR="00685411">
        <w:trPr>
          <w:trHeight w:val="255"/>
        </w:trPr>
        <w:tc>
          <w:tcPr>
            <w:tcW w:w="9600" w:type="dxa"/>
            <w:gridSpan w:val="6"/>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b/>
                <w:bCs/>
                <w:sz w:val="20"/>
                <w:szCs w:val="20"/>
                <w:u w:val="single"/>
              </w:rPr>
            </w:pPr>
            <w:r>
              <w:rPr>
                <w:rFonts w:ascii="Arial TUR" w:hAnsi="Arial TUR" w:cs="Arial TUR"/>
                <w:b/>
                <w:bCs/>
                <w:sz w:val="20"/>
                <w:szCs w:val="20"/>
                <w:u w:val="single"/>
              </w:rPr>
              <w:t xml:space="preserve">TÜRK EKONOMİ </w:t>
            </w:r>
            <w:r>
              <w:rPr>
                <w:rFonts w:ascii="Arial TUR" w:hAnsi="Arial TUR" w:cs="Arial TUR"/>
                <w:b/>
                <w:bCs/>
                <w:sz w:val="20"/>
                <w:szCs w:val="20"/>
                <w:u w:val="single"/>
              </w:rPr>
              <w:t>BANKASI A.Ş.</w:t>
            </w:r>
          </w:p>
        </w:tc>
      </w:tr>
      <w:tr w:rsidR="00685411">
        <w:trPr>
          <w:trHeight w:val="255"/>
        </w:trPr>
        <w:tc>
          <w:tcPr>
            <w:tcW w:w="0" w:type="auto"/>
            <w:gridSpan w:val="6"/>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b/>
                <w:bCs/>
                <w:sz w:val="20"/>
                <w:szCs w:val="20"/>
                <w:u w:val="single"/>
              </w:rPr>
            </w:pPr>
            <w:r>
              <w:rPr>
                <w:rFonts w:ascii="Arial TUR" w:hAnsi="Arial TUR" w:cs="Arial TUR"/>
                <w:b/>
                <w:bCs/>
                <w:sz w:val="20"/>
                <w:szCs w:val="20"/>
                <w:u w:val="single"/>
              </w:rPr>
              <w:t>STATEMENTS OF OFF-BALANCE SHEET OBLIGATION (PARENT)</w:t>
            </w:r>
          </w:p>
        </w:tc>
      </w:tr>
      <w:tr w:rsidR="00685411">
        <w:trPr>
          <w:trHeight w:val="255"/>
        </w:trPr>
        <w:tc>
          <w:tcPr>
            <w:tcW w:w="0" w:type="auto"/>
            <w:gridSpan w:val="6"/>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b/>
                <w:bCs/>
                <w:sz w:val="20"/>
                <w:szCs w:val="20"/>
              </w:rPr>
            </w:pPr>
            <w:r>
              <w:rPr>
                <w:rFonts w:ascii="Arial TUR" w:hAnsi="Arial TUR" w:cs="Arial TUR"/>
                <w:b/>
                <w:bCs/>
                <w:sz w:val="20"/>
                <w:szCs w:val="20"/>
              </w:rPr>
              <w:t>(Currency--Billions of Turkish lira in equivalent purchasing power at September 30, 2002)</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b/>
                <w:bCs/>
                <w:sz w:val="20"/>
                <w:szCs w:val="20"/>
              </w:rPr>
            </w:pPr>
            <w:r>
              <w:rPr>
                <w:rFonts w:ascii="Arial TUR" w:hAnsi="Arial TUR" w:cs="Arial TUR"/>
                <w:b/>
                <w:bCs/>
                <w:sz w:val="20"/>
                <w:szCs w:val="20"/>
              </w:rPr>
              <w:t>(Current Period)</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b/>
                <w:bCs/>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0000FF"/>
              <w:right w:val="nil"/>
            </w:tcBorders>
            <w:noWrap/>
            <w:tcMar>
              <w:top w:w="15" w:type="dxa"/>
              <w:left w:w="15" w:type="dxa"/>
              <w:bottom w:w="0" w:type="dxa"/>
              <w:right w:w="15" w:type="dxa"/>
            </w:tcMar>
            <w:vAlign w:val="bottom"/>
          </w:tcPr>
          <w:p w:rsidR="00685411" w:rsidRDefault="001405FF">
            <w:pPr>
              <w:jc w:val="center"/>
              <w:rPr>
                <w:rFonts w:ascii="Arial TUR" w:eastAsia="Arial Unicode MS" w:hAnsi="Arial TUR" w:cs="Arial TUR"/>
                <w:b/>
                <w:bCs/>
                <w:sz w:val="20"/>
                <w:szCs w:val="20"/>
              </w:rPr>
            </w:pPr>
            <w:r>
              <w:rPr>
                <w:rFonts w:ascii="Arial TUR" w:hAnsi="Arial TUR" w:cs="Arial TUR"/>
                <w:b/>
                <w:bCs/>
                <w:sz w:val="20"/>
                <w:szCs w:val="20"/>
              </w:rPr>
              <w:t>( 30/09/2002)</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b/>
                <w:bCs/>
                <w:sz w:val="20"/>
                <w:szCs w:val="20"/>
              </w:rPr>
            </w:pPr>
            <w:r>
              <w:rPr>
                <w:rFonts w:ascii="Arial TUR" w:hAnsi="Arial TUR" w:cs="Arial TUR"/>
                <w:b/>
                <w:bCs/>
                <w:sz w:val="20"/>
                <w:szCs w:val="20"/>
              </w:rPr>
              <w:t>GUARANTEES AND COLLATERALS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934,043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Letter of Guarantees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540,386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Acceptance Credits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37,613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C</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Letter of Credits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346,416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D.</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Endorsements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Prefinancing</w:t>
            </w:r>
            <w:r>
              <w:rPr>
                <w:rFonts w:ascii="Arial TUR" w:hAnsi="Arial TUR" w:cs="Arial TUR"/>
                <w:sz w:val="20"/>
                <w:szCs w:val="20"/>
              </w:rPr>
              <w:t xml:space="preserve"> Loans Without Letters of Guarantee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F.</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Receivables from Underwriting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G.</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Other Guarantees and Collaterals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9,628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II-</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b/>
                <w:bCs/>
                <w:sz w:val="20"/>
                <w:szCs w:val="20"/>
              </w:rPr>
            </w:pPr>
            <w:r>
              <w:rPr>
                <w:rFonts w:ascii="Arial TUR" w:hAnsi="Arial TUR" w:cs="Arial TUR"/>
                <w:b/>
                <w:bCs/>
                <w:sz w:val="20"/>
                <w:szCs w:val="20"/>
              </w:rPr>
              <w:t>IRREVOCABLE COMMITMENTS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221,749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Repurchase and Reverse Repurchase Transactions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1,326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 Repurchase Transactions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2) Reverse Repurchase Transactions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1,326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Commitments of Asset Purchase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C.</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Commitments of Deposit Trading</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D.</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Commitments of Share Capital Increase of Participation</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Commitments of Loan with Issuance Guarantee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153,053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F.</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Commitments of Intermediary Activities for Share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Certificate Issuance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G.</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Commitments of Reserve Deposits Payments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H.</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Commitments of Credit Card Limits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67,370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Other</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III-</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b/>
                <w:bCs/>
                <w:sz w:val="20"/>
                <w:szCs w:val="20"/>
              </w:rPr>
            </w:pPr>
            <w:r>
              <w:rPr>
                <w:rFonts w:ascii="Arial TUR" w:hAnsi="Arial TUR" w:cs="Arial TUR"/>
                <w:b/>
                <w:bCs/>
                <w:sz w:val="20"/>
                <w:szCs w:val="20"/>
              </w:rPr>
              <w:t>REVOCABLE COMMITMENTS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Revocable Loan Assignment Commitments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Others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IV-</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b/>
                <w:bCs/>
                <w:sz w:val="20"/>
                <w:szCs w:val="20"/>
              </w:rPr>
            </w:pPr>
            <w:r>
              <w:rPr>
                <w:rFonts w:ascii="Arial TUR" w:hAnsi="Arial TUR" w:cs="Arial TUR"/>
                <w:b/>
                <w:bCs/>
                <w:sz w:val="20"/>
                <w:szCs w:val="20"/>
              </w:rPr>
              <w:t>FOREIGN CURRENCY AND INTEREST RELATED TRANSACTIONS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317,225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A.</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Forward Foreign Currency Purchase-Sales Transactions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137,027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a) Forward Foreign Currency Purchase Transactions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68,344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b) Forward Foreign Currency Sales Transactions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68,683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B.</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Money and Interest Swaps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77,462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a) Money Swaps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39,018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b) Interest Swaps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38,444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C.</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Futures Transactions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D.</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Futures Interest</w:t>
            </w:r>
            <w:r>
              <w:rPr>
                <w:rFonts w:ascii="Arial TUR" w:hAnsi="Arial TUR" w:cs="Arial TUR"/>
                <w:sz w:val="20"/>
                <w:szCs w:val="20"/>
              </w:rPr>
              <w:t xml:space="preserve"> Purchase-Sales Transactions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a) Future Interest Purchase Transactions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b) Future Interest Sales Transactions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E.</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Money and Interest Options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w:t>
            </w: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a) Money Buy Options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b) Money Sell Options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c) Interest Buy Options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d) Interest Sell Options </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F.</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Others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102,736 </w:t>
            </w: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V-</w:t>
            </w: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b/>
                <w:bCs/>
                <w:sz w:val="20"/>
                <w:szCs w:val="20"/>
              </w:rPr>
            </w:pPr>
            <w:r>
              <w:rPr>
                <w:rFonts w:ascii="Arial TUR" w:hAnsi="Arial TUR" w:cs="Arial TUR"/>
                <w:b/>
                <w:bCs/>
                <w:sz w:val="20"/>
                <w:szCs w:val="20"/>
              </w:rPr>
              <w:t>OTHER OFF BALANCE SHEET ACCOUNTS</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1,602,132 </w:t>
            </w:r>
          </w:p>
        </w:tc>
      </w:tr>
      <w:tr w:rsidR="00685411">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r>
      <w:tr w:rsidR="00685411">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b/>
                <w:bCs/>
                <w:sz w:val="20"/>
                <w:szCs w:val="20"/>
              </w:rPr>
            </w:pPr>
            <w:r>
              <w:rPr>
                <w:rFonts w:ascii="Arial TUR" w:hAnsi="Arial TUR" w:cs="Arial TUR"/>
                <w:b/>
                <w:bCs/>
                <w:sz w:val="20"/>
                <w:szCs w:val="20"/>
              </w:rPr>
              <w:t>TOTAL</w:t>
            </w: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685411" w:rsidRDefault="00685411">
            <w:pPr>
              <w:rPr>
                <w:rFonts w:ascii="Arial TUR" w:eastAsia="Arial Unicode MS" w:hAnsi="Arial TUR" w:cs="Arial TUR"/>
                <w:sz w:val="20"/>
                <w:szCs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685411" w:rsidRDefault="001405FF">
            <w:pPr>
              <w:rPr>
                <w:rFonts w:ascii="Arial TUR" w:eastAsia="Arial Unicode MS" w:hAnsi="Arial TUR" w:cs="Arial TUR"/>
                <w:sz w:val="20"/>
                <w:szCs w:val="20"/>
              </w:rPr>
            </w:pPr>
            <w:r>
              <w:rPr>
                <w:rFonts w:ascii="Arial TUR" w:hAnsi="Arial TUR" w:cs="Arial TUR"/>
                <w:sz w:val="20"/>
                <w:szCs w:val="20"/>
              </w:rPr>
              <w:t xml:space="preserve">          3,075,149 </w:t>
            </w:r>
          </w:p>
        </w:tc>
      </w:tr>
    </w:tbl>
    <w:p w:rsidR="00685411" w:rsidRDefault="00685411">
      <w:pPr>
        <w:ind w:right="22"/>
        <w:rPr>
          <w:sz w:val="20"/>
        </w:rPr>
      </w:pPr>
    </w:p>
    <w:p w:rsidR="00685411" w:rsidRDefault="001405FF">
      <w:pPr>
        <w:tabs>
          <w:tab w:val="left" w:pos="576"/>
          <w:tab w:val="left" w:pos="864"/>
          <w:tab w:val="left" w:pos="1584"/>
          <w:tab w:val="left" w:pos="2016"/>
          <w:tab w:val="left" w:pos="4032"/>
        </w:tabs>
        <w:ind w:right="14"/>
        <w:jc w:val="center"/>
      </w:pPr>
      <w:r>
        <w:rPr>
          <w:sz w:val="20"/>
        </w:rPr>
        <w:br w:type="page"/>
      </w:r>
      <w:r>
        <w:t>(CONVENIENCE TRANSLATION OF A REPORT AND FINANCIAL STATEMENTS ORIGINALLY ISSUED IN TURKISH – SEE NOTE 9)</w:t>
      </w:r>
    </w:p>
    <w:p w:rsidR="00685411" w:rsidRDefault="00685411">
      <w:pPr>
        <w:tabs>
          <w:tab w:val="left" w:pos="864"/>
          <w:tab w:val="left" w:pos="2160"/>
          <w:tab w:val="left" w:pos="8280"/>
        </w:tabs>
        <w:ind w:right="14"/>
        <w:jc w:val="center"/>
      </w:pPr>
    </w:p>
    <w:p w:rsidR="00685411" w:rsidRDefault="001405FF">
      <w:pPr>
        <w:tabs>
          <w:tab w:val="left" w:pos="864"/>
          <w:tab w:val="left" w:pos="2160"/>
          <w:tab w:val="left" w:pos="8280"/>
        </w:tabs>
        <w:ind w:right="14"/>
        <w:jc w:val="center"/>
        <w:rPr>
          <w:b/>
          <w:u w:val="single"/>
        </w:rPr>
      </w:pPr>
      <w:r>
        <w:rPr>
          <w:b/>
          <w:u w:val="single"/>
        </w:rPr>
        <w:t>TÜRK EKONOMİ B</w:t>
      </w:r>
      <w:r>
        <w:rPr>
          <w:b/>
          <w:u w:val="single"/>
        </w:rPr>
        <w:t>ANKASI ANONİM ŞİRKETİ</w:t>
      </w:r>
    </w:p>
    <w:p w:rsidR="00685411" w:rsidRDefault="00685411">
      <w:pPr>
        <w:tabs>
          <w:tab w:val="left" w:pos="864"/>
          <w:tab w:val="left" w:pos="2160"/>
          <w:tab w:val="left" w:pos="8280"/>
        </w:tabs>
        <w:ind w:right="14"/>
        <w:jc w:val="center"/>
        <w:rPr>
          <w:b/>
          <w:u w:val="single"/>
        </w:rPr>
      </w:pPr>
    </w:p>
    <w:p w:rsidR="00685411" w:rsidRDefault="001405FF">
      <w:pPr>
        <w:tabs>
          <w:tab w:val="left" w:pos="864"/>
          <w:tab w:val="left" w:pos="2160"/>
          <w:tab w:val="left" w:pos="8280"/>
        </w:tabs>
        <w:ind w:right="14"/>
        <w:jc w:val="center"/>
        <w:rPr>
          <w:b/>
          <w:u w:val="single"/>
        </w:rPr>
      </w:pPr>
      <w:r>
        <w:rPr>
          <w:b/>
          <w:u w:val="single"/>
        </w:rPr>
        <w:t xml:space="preserve">FOOTNOTES TO CONSOLIDATED FINANCIAL STATEMENTS – </w:t>
      </w:r>
    </w:p>
    <w:p w:rsidR="00685411" w:rsidRDefault="00685411">
      <w:pPr>
        <w:tabs>
          <w:tab w:val="left" w:pos="864"/>
          <w:tab w:val="left" w:pos="2160"/>
          <w:tab w:val="left" w:pos="8280"/>
        </w:tabs>
        <w:ind w:right="14"/>
        <w:jc w:val="center"/>
        <w:rPr>
          <w:b/>
          <w:u w:val="single"/>
        </w:rPr>
      </w:pPr>
    </w:p>
    <w:p w:rsidR="00685411" w:rsidRDefault="001405FF">
      <w:pPr>
        <w:tabs>
          <w:tab w:val="left" w:pos="864"/>
          <w:tab w:val="left" w:pos="2160"/>
          <w:tab w:val="left" w:pos="8280"/>
        </w:tabs>
        <w:ind w:right="14"/>
        <w:jc w:val="center"/>
        <w:rPr>
          <w:b/>
          <w:u w:val="single"/>
        </w:rPr>
      </w:pPr>
      <w:r>
        <w:rPr>
          <w:b/>
          <w:u w:val="single"/>
        </w:rPr>
        <w:t xml:space="preserve">SEPTEMBER 30, 2002 </w:t>
      </w:r>
    </w:p>
    <w:p w:rsidR="00685411" w:rsidRDefault="00685411">
      <w:pPr>
        <w:tabs>
          <w:tab w:val="left" w:pos="864"/>
          <w:tab w:val="left" w:pos="2160"/>
          <w:tab w:val="left" w:pos="8280"/>
        </w:tabs>
        <w:ind w:right="14"/>
        <w:jc w:val="center"/>
      </w:pPr>
    </w:p>
    <w:p w:rsidR="00685411" w:rsidRDefault="001405FF">
      <w:pPr>
        <w:tabs>
          <w:tab w:val="left" w:pos="864"/>
          <w:tab w:val="left" w:pos="2160"/>
          <w:tab w:val="left" w:pos="8280"/>
        </w:tabs>
        <w:ind w:right="14"/>
        <w:jc w:val="center"/>
      </w:pPr>
      <w:r>
        <w:t xml:space="preserve">(Currency – Billions of Turkish lira in equivalent purchasing power </w:t>
      </w:r>
    </w:p>
    <w:p w:rsidR="00685411" w:rsidRDefault="001405FF">
      <w:pPr>
        <w:tabs>
          <w:tab w:val="left" w:pos="864"/>
          <w:tab w:val="left" w:pos="2160"/>
          <w:tab w:val="left" w:pos="8280"/>
        </w:tabs>
        <w:ind w:right="14"/>
        <w:jc w:val="center"/>
      </w:pPr>
      <w:r>
        <w:t>at September 30, 2002 unless otherwise indicated)</w:t>
      </w:r>
    </w:p>
    <w:p w:rsidR="00685411" w:rsidRDefault="00685411">
      <w:pPr>
        <w:tabs>
          <w:tab w:val="left" w:pos="864"/>
          <w:tab w:val="left" w:pos="2160"/>
          <w:tab w:val="left" w:pos="8280"/>
        </w:tabs>
        <w:ind w:right="14"/>
      </w:pPr>
    </w:p>
    <w:p w:rsidR="00685411" w:rsidRDefault="001405FF">
      <w:pPr>
        <w:pStyle w:val="BodyText"/>
        <w:ind w:right="14"/>
        <w:rPr>
          <w:b/>
          <w:u w:val="single"/>
        </w:rPr>
      </w:pPr>
      <w:r>
        <w:rPr>
          <w:b/>
          <w:u w:val="single"/>
        </w:rPr>
        <w:t>(1)  INFORMATION ABOUT CONSOLIDATED FINAN</w:t>
      </w:r>
      <w:r>
        <w:rPr>
          <w:b/>
          <w:u w:val="single"/>
        </w:rPr>
        <w:t>CIAL INSTITUTIONS:</w:t>
      </w:r>
    </w:p>
    <w:p w:rsidR="00685411" w:rsidRDefault="00685411">
      <w:pPr>
        <w:tabs>
          <w:tab w:val="left" w:pos="864"/>
          <w:tab w:val="left" w:pos="2160"/>
          <w:tab w:val="left" w:pos="8280"/>
        </w:tabs>
        <w:ind w:right="14"/>
        <w:jc w:val="both"/>
      </w:pPr>
    </w:p>
    <w:p w:rsidR="00685411" w:rsidRDefault="001405FF">
      <w:pPr>
        <w:tabs>
          <w:tab w:val="left" w:pos="864"/>
          <w:tab w:val="left" w:pos="2160"/>
          <w:tab w:val="left" w:pos="8280"/>
        </w:tabs>
        <w:ind w:right="-346"/>
        <w:jc w:val="both"/>
      </w:pPr>
      <w:r>
        <w:t>The financial institutions to be consolidated have been determined in accordance with the Communique on “Procedures and Basis for Preparation and Announcement of Consolidated Financial Statements for Banks” (the Communique) published by</w:t>
      </w:r>
      <w:r>
        <w:t xml:space="preserve"> the Undersecretariat to the Turkish Republic Prime Ministry of Treasury in the Official Gazette number 22985 dated May 10, 1997 and related circulars.  Accordingly, considering direct and/or indirect shareholding and control power, the accompanying consol</w:t>
      </w:r>
      <w:r>
        <w:t>idated financial statements include the financial statements of Türk Ekonomi Bankası A.Ş. and the financial statements of the following subsidiaries which are owned/controlled by this bank, namely The Economy Bank N.V. (Economy Bank), Petek International H</w:t>
      </w:r>
      <w:r>
        <w:t>oldings B.V. (Petek International), TEB Yatırım Menkul Değerler A.Ş. (TEB Menkul), TEB Finansal Kiralama A.Ş. (TEB Finansal), TEB Factoring A.Ş. (TEB Factoring), TEB Portföy Yönetimi A.Ş. (TEB Portföy ) and TEB Sigorta A.Ş. (TEB Sigorta),  which were conso</w:t>
      </w:r>
      <w:r>
        <w:t xml:space="preserve">lidated by full consolidation method. </w:t>
      </w:r>
    </w:p>
    <w:p w:rsidR="00685411" w:rsidRDefault="00685411">
      <w:pPr>
        <w:tabs>
          <w:tab w:val="left" w:pos="864"/>
          <w:tab w:val="left" w:pos="2160"/>
          <w:tab w:val="left" w:pos="8280"/>
        </w:tabs>
        <w:ind w:right="14"/>
      </w:pPr>
    </w:p>
    <w:p w:rsidR="00685411" w:rsidRDefault="001405FF">
      <w:pPr>
        <w:tabs>
          <w:tab w:val="left" w:pos="864"/>
          <w:tab w:val="left" w:pos="2160"/>
          <w:tab w:val="left" w:pos="8280"/>
        </w:tabs>
        <w:ind w:right="-346"/>
        <w:jc w:val="both"/>
      </w:pPr>
      <w:r>
        <w:t>The parent and the consolidated subsidiaries will be referred to as the Bank for the purposes of the accompanying financial statements and this report.</w:t>
      </w:r>
    </w:p>
    <w:p w:rsidR="00685411" w:rsidRDefault="00685411">
      <w:pPr>
        <w:tabs>
          <w:tab w:val="left" w:pos="864"/>
          <w:tab w:val="left" w:pos="2160"/>
          <w:tab w:val="left" w:pos="8280"/>
        </w:tabs>
        <w:ind w:right="14"/>
      </w:pPr>
    </w:p>
    <w:p w:rsidR="00685411" w:rsidRDefault="001405FF">
      <w:pPr>
        <w:tabs>
          <w:tab w:val="left" w:pos="864"/>
          <w:tab w:val="left" w:pos="2160"/>
          <w:tab w:val="left" w:pos="8280"/>
        </w:tabs>
        <w:ind w:right="-346"/>
        <w:jc w:val="both"/>
      </w:pPr>
      <w:r>
        <w:t>Detailed information about consolidated subsidiaries, participa</w:t>
      </w:r>
      <w:r>
        <w:t>tions and other subsidiaries are as follows:</w:t>
      </w:r>
    </w:p>
    <w:tbl>
      <w:tblPr>
        <w:tblW w:w="9213" w:type="dxa"/>
        <w:tblInd w:w="198" w:type="dxa"/>
        <w:tblLayout w:type="fixed"/>
        <w:tblLook w:val="0000" w:firstRow="0" w:lastRow="0" w:firstColumn="0" w:lastColumn="0" w:noHBand="0" w:noVBand="0"/>
      </w:tblPr>
      <w:tblGrid>
        <w:gridCol w:w="2610"/>
        <w:gridCol w:w="236"/>
        <w:gridCol w:w="236"/>
        <w:gridCol w:w="428"/>
        <w:gridCol w:w="663"/>
        <w:gridCol w:w="270"/>
        <w:gridCol w:w="1737"/>
        <w:gridCol w:w="270"/>
        <w:gridCol w:w="1413"/>
        <w:gridCol w:w="270"/>
        <w:gridCol w:w="1080"/>
      </w:tblGrid>
      <w:tr w:rsidR="00685411">
        <w:trPr>
          <w:cantSplit/>
        </w:trPr>
        <w:tc>
          <w:tcPr>
            <w:tcW w:w="2610" w:type="dxa"/>
          </w:tcPr>
          <w:p w:rsidR="00685411" w:rsidRDefault="00685411">
            <w:pPr>
              <w:ind w:hanging="162"/>
              <w:jc w:val="center"/>
              <w:rPr>
                <w:sz w:val="16"/>
              </w:rPr>
            </w:pPr>
          </w:p>
        </w:tc>
        <w:tc>
          <w:tcPr>
            <w:tcW w:w="236" w:type="dxa"/>
          </w:tcPr>
          <w:p w:rsidR="00685411" w:rsidRDefault="00685411">
            <w:pPr>
              <w:rPr>
                <w:sz w:val="16"/>
              </w:rPr>
            </w:pPr>
          </w:p>
        </w:tc>
        <w:tc>
          <w:tcPr>
            <w:tcW w:w="236" w:type="dxa"/>
            <w:tcBorders>
              <w:bottom w:val="single" w:sz="4" w:space="0" w:color="auto"/>
            </w:tcBorders>
          </w:tcPr>
          <w:p w:rsidR="00685411" w:rsidRDefault="00685411">
            <w:pPr>
              <w:jc w:val="center"/>
              <w:rPr>
                <w:sz w:val="16"/>
              </w:rPr>
            </w:pPr>
          </w:p>
        </w:tc>
        <w:tc>
          <w:tcPr>
            <w:tcW w:w="428" w:type="dxa"/>
            <w:tcBorders>
              <w:bottom w:val="single" w:sz="4" w:space="0" w:color="auto"/>
            </w:tcBorders>
          </w:tcPr>
          <w:p w:rsidR="00685411" w:rsidRDefault="00685411">
            <w:pPr>
              <w:jc w:val="center"/>
              <w:rPr>
                <w:sz w:val="16"/>
              </w:rPr>
            </w:pPr>
          </w:p>
        </w:tc>
        <w:tc>
          <w:tcPr>
            <w:tcW w:w="4353" w:type="dxa"/>
            <w:gridSpan w:val="5"/>
            <w:tcBorders>
              <w:bottom w:val="single" w:sz="4" w:space="0" w:color="auto"/>
            </w:tcBorders>
          </w:tcPr>
          <w:p w:rsidR="00685411" w:rsidRDefault="001405FF">
            <w:pPr>
              <w:jc w:val="center"/>
              <w:rPr>
                <w:sz w:val="16"/>
              </w:rPr>
            </w:pPr>
            <w:r>
              <w:rPr>
                <w:sz w:val="16"/>
              </w:rPr>
              <w:t>September 30, 2002</w:t>
            </w:r>
          </w:p>
        </w:tc>
        <w:tc>
          <w:tcPr>
            <w:tcW w:w="1350" w:type="dxa"/>
            <w:gridSpan w:val="2"/>
            <w:tcBorders>
              <w:bottom w:val="single" w:sz="4" w:space="0" w:color="auto"/>
            </w:tcBorders>
          </w:tcPr>
          <w:p w:rsidR="00685411" w:rsidRDefault="00685411">
            <w:pPr>
              <w:jc w:val="center"/>
              <w:rPr>
                <w:sz w:val="16"/>
              </w:rPr>
            </w:pPr>
          </w:p>
        </w:tc>
      </w:tr>
      <w:tr w:rsidR="00685411">
        <w:trPr>
          <w:cantSplit/>
        </w:trPr>
        <w:tc>
          <w:tcPr>
            <w:tcW w:w="2610" w:type="dxa"/>
            <w:tcBorders>
              <w:bottom w:val="single" w:sz="4" w:space="0" w:color="auto"/>
            </w:tcBorders>
          </w:tcPr>
          <w:p w:rsidR="00685411" w:rsidRDefault="00685411">
            <w:pPr>
              <w:ind w:left="162" w:hanging="162"/>
              <w:jc w:val="center"/>
              <w:rPr>
                <w:sz w:val="16"/>
              </w:rPr>
            </w:pPr>
          </w:p>
          <w:p w:rsidR="00685411" w:rsidRDefault="001405FF">
            <w:pPr>
              <w:ind w:left="162" w:hanging="162"/>
              <w:jc w:val="center"/>
              <w:rPr>
                <w:sz w:val="16"/>
              </w:rPr>
            </w:pPr>
            <w:r>
              <w:rPr>
                <w:sz w:val="16"/>
              </w:rPr>
              <w:t>Name</w:t>
            </w:r>
          </w:p>
        </w:tc>
        <w:tc>
          <w:tcPr>
            <w:tcW w:w="236" w:type="dxa"/>
          </w:tcPr>
          <w:p w:rsidR="00685411" w:rsidRDefault="00685411">
            <w:pPr>
              <w:rPr>
                <w:sz w:val="16"/>
              </w:rPr>
            </w:pPr>
          </w:p>
        </w:tc>
        <w:tc>
          <w:tcPr>
            <w:tcW w:w="1327" w:type="dxa"/>
            <w:gridSpan w:val="3"/>
            <w:tcBorders>
              <w:bottom w:val="single" w:sz="4" w:space="0" w:color="auto"/>
            </w:tcBorders>
          </w:tcPr>
          <w:p w:rsidR="00685411" w:rsidRDefault="001405FF">
            <w:pPr>
              <w:jc w:val="center"/>
              <w:rPr>
                <w:sz w:val="16"/>
              </w:rPr>
            </w:pPr>
            <w:r>
              <w:rPr>
                <w:sz w:val="16"/>
              </w:rPr>
              <w:t>Head</w:t>
            </w:r>
          </w:p>
          <w:p w:rsidR="00685411" w:rsidRDefault="001405FF">
            <w:pPr>
              <w:jc w:val="center"/>
              <w:rPr>
                <w:sz w:val="16"/>
              </w:rPr>
            </w:pPr>
            <w:r>
              <w:rPr>
                <w:sz w:val="16"/>
              </w:rPr>
              <w:t>Quarters</w:t>
            </w:r>
          </w:p>
        </w:tc>
        <w:tc>
          <w:tcPr>
            <w:tcW w:w="270" w:type="dxa"/>
          </w:tcPr>
          <w:p w:rsidR="00685411" w:rsidRDefault="00685411">
            <w:pPr>
              <w:jc w:val="center"/>
              <w:rPr>
                <w:sz w:val="16"/>
              </w:rPr>
            </w:pPr>
          </w:p>
        </w:tc>
        <w:tc>
          <w:tcPr>
            <w:tcW w:w="1737" w:type="dxa"/>
            <w:tcBorders>
              <w:bottom w:val="single" w:sz="4" w:space="0" w:color="auto"/>
            </w:tcBorders>
          </w:tcPr>
          <w:p w:rsidR="00685411" w:rsidRDefault="001405FF">
            <w:pPr>
              <w:jc w:val="center"/>
              <w:rPr>
                <w:sz w:val="16"/>
              </w:rPr>
            </w:pPr>
            <w:r>
              <w:rPr>
                <w:sz w:val="16"/>
              </w:rPr>
              <w:t>Share</w:t>
            </w:r>
          </w:p>
          <w:p w:rsidR="00685411" w:rsidRDefault="001405FF">
            <w:pPr>
              <w:jc w:val="center"/>
              <w:rPr>
                <w:sz w:val="16"/>
              </w:rPr>
            </w:pPr>
            <w:r>
              <w:rPr>
                <w:sz w:val="16"/>
              </w:rPr>
              <w:t>Capital</w:t>
            </w:r>
          </w:p>
          <w:p w:rsidR="00685411" w:rsidRDefault="001405FF">
            <w:pPr>
              <w:jc w:val="center"/>
              <w:rPr>
                <w:sz w:val="16"/>
              </w:rPr>
            </w:pPr>
            <w:r>
              <w:rPr>
                <w:sz w:val="16"/>
              </w:rPr>
              <w:t>(in Historical Terms)</w:t>
            </w:r>
          </w:p>
        </w:tc>
        <w:tc>
          <w:tcPr>
            <w:tcW w:w="270" w:type="dxa"/>
          </w:tcPr>
          <w:p w:rsidR="00685411" w:rsidRDefault="00685411">
            <w:pPr>
              <w:jc w:val="center"/>
              <w:rPr>
                <w:sz w:val="16"/>
              </w:rPr>
            </w:pPr>
          </w:p>
        </w:tc>
        <w:tc>
          <w:tcPr>
            <w:tcW w:w="1413" w:type="dxa"/>
            <w:tcBorders>
              <w:bottom w:val="single" w:sz="4" w:space="0" w:color="auto"/>
            </w:tcBorders>
          </w:tcPr>
          <w:p w:rsidR="00685411" w:rsidRDefault="001405FF">
            <w:pPr>
              <w:jc w:val="center"/>
              <w:rPr>
                <w:sz w:val="16"/>
              </w:rPr>
            </w:pPr>
            <w:r>
              <w:rPr>
                <w:sz w:val="16"/>
              </w:rPr>
              <w:t>Effect of Inflation Accounting on Share Capital</w:t>
            </w:r>
          </w:p>
        </w:tc>
        <w:tc>
          <w:tcPr>
            <w:tcW w:w="270" w:type="dxa"/>
          </w:tcPr>
          <w:p w:rsidR="00685411" w:rsidRDefault="00685411">
            <w:pPr>
              <w:jc w:val="center"/>
              <w:rPr>
                <w:sz w:val="16"/>
              </w:rPr>
            </w:pPr>
          </w:p>
        </w:tc>
        <w:tc>
          <w:tcPr>
            <w:tcW w:w="1080" w:type="dxa"/>
            <w:tcBorders>
              <w:bottom w:val="single" w:sz="4" w:space="0" w:color="auto"/>
            </w:tcBorders>
          </w:tcPr>
          <w:p w:rsidR="00685411" w:rsidRDefault="00685411">
            <w:pPr>
              <w:jc w:val="center"/>
              <w:rPr>
                <w:sz w:val="16"/>
              </w:rPr>
            </w:pPr>
          </w:p>
          <w:p w:rsidR="00685411" w:rsidRDefault="001405FF">
            <w:pPr>
              <w:jc w:val="center"/>
              <w:rPr>
                <w:sz w:val="16"/>
              </w:rPr>
            </w:pPr>
            <w:r>
              <w:rPr>
                <w:sz w:val="16"/>
              </w:rPr>
              <w:t>Number of</w:t>
            </w:r>
          </w:p>
          <w:p w:rsidR="00685411" w:rsidRDefault="001405FF">
            <w:pPr>
              <w:jc w:val="center"/>
              <w:rPr>
                <w:sz w:val="16"/>
              </w:rPr>
            </w:pPr>
            <w:r>
              <w:rPr>
                <w:sz w:val="16"/>
              </w:rPr>
              <w:t>Personnel</w:t>
            </w:r>
          </w:p>
        </w:tc>
      </w:tr>
      <w:tr w:rsidR="00685411">
        <w:trPr>
          <w:cantSplit/>
        </w:trPr>
        <w:tc>
          <w:tcPr>
            <w:tcW w:w="2610" w:type="dxa"/>
          </w:tcPr>
          <w:p w:rsidR="00685411" w:rsidRDefault="00685411">
            <w:pPr>
              <w:ind w:hanging="162"/>
              <w:rPr>
                <w:sz w:val="16"/>
              </w:rPr>
            </w:pPr>
          </w:p>
        </w:tc>
        <w:tc>
          <w:tcPr>
            <w:tcW w:w="236" w:type="dxa"/>
          </w:tcPr>
          <w:p w:rsidR="00685411" w:rsidRDefault="00685411">
            <w:pPr>
              <w:rPr>
                <w:sz w:val="16"/>
              </w:rPr>
            </w:pPr>
          </w:p>
        </w:tc>
        <w:tc>
          <w:tcPr>
            <w:tcW w:w="1327" w:type="dxa"/>
            <w:gridSpan w:val="3"/>
          </w:tcPr>
          <w:p w:rsidR="00685411" w:rsidRDefault="00685411">
            <w:pPr>
              <w:jc w:val="right"/>
              <w:rPr>
                <w:sz w:val="16"/>
              </w:rPr>
            </w:pPr>
          </w:p>
        </w:tc>
        <w:tc>
          <w:tcPr>
            <w:tcW w:w="270" w:type="dxa"/>
          </w:tcPr>
          <w:p w:rsidR="00685411" w:rsidRDefault="00685411">
            <w:pPr>
              <w:jc w:val="right"/>
              <w:rPr>
                <w:sz w:val="16"/>
              </w:rPr>
            </w:pPr>
          </w:p>
        </w:tc>
        <w:tc>
          <w:tcPr>
            <w:tcW w:w="1737" w:type="dxa"/>
          </w:tcPr>
          <w:p w:rsidR="00685411" w:rsidRDefault="00685411">
            <w:pPr>
              <w:jc w:val="right"/>
              <w:rPr>
                <w:sz w:val="16"/>
              </w:rPr>
            </w:pPr>
          </w:p>
        </w:tc>
        <w:tc>
          <w:tcPr>
            <w:tcW w:w="270" w:type="dxa"/>
          </w:tcPr>
          <w:p w:rsidR="00685411" w:rsidRDefault="00685411">
            <w:pPr>
              <w:jc w:val="right"/>
              <w:rPr>
                <w:sz w:val="16"/>
              </w:rPr>
            </w:pPr>
          </w:p>
        </w:tc>
        <w:tc>
          <w:tcPr>
            <w:tcW w:w="1413" w:type="dxa"/>
          </w:tcPr>
          <w:p w:rsidR="00685411" w:rsidRDefault="00685411">
            <w:pPr>
              <w:jc w:val="right"/>
              <w:rPr>
                <w:sz w:val="16"/>
              </w:rPr>
            </w:pPr>
          </w:p>
        </w:tc>
        <w:tc>
          <w:tcPr>
            <w:tcW w:w="270" w:type="dxa"/>
          </w:tcPr>
          <w:p w:rsidR="00685411" w:rsidRDefault="00685411">
            <w:pPr>
              <w:jc w:val="right"/>
              <w:rPr>
                <w:sz w:val="16"/>
              </w:rPr>
            </w:pPr>
          </w:p>
        </w:tc>
        <w:tc>
          <w:tcPr>
            <w:tcW w:w="1080" w:type="dxa"/>
          </w:tcPr>
          <w:p w:rsidR="00685411" w:rsidRDefault="00685411">
            <w:pPr>
              <w:jc w:val="right"/>
              <w:rPr>
                <w:sz w:val="16"/>
              </w:rPr>
            </w:pPr>
          </w:p>
        </w:tc>
      </w:tr>
      <w:tr w:rsidR="00685411">
        <w:trPr>
          <w:cantSplit/>
        </w:trPr>
        <w:tc>
          <w:tcPr>
            <w:tcW w:w="2610" w:type="dxa"/>
          </w:tcPr>
          <w:p w:rsidR="00685411" w:rsidRDefault="001405FF">
            <w:pPr>
              <w:ind w:left="162" w:hanging="162"/>
              <w:rPr>
                <w:sz w:val="16"/>
              </w:rPr>
            </w:pPr>
            <w:r>
              <w:rPr>
                <w:sz w:val="16"/>
              </w:rPr>
              <w:t>The Economy Bank</w:t>
            </w:r>
          </w:p>
        </w:tc>
        <w:tc>
          <w:tcPr>
            <w:tcW w:w="236" w:type="dxa"/>
          </w:tcPr>
          <w:p w:rsidR="00685411" w:rsidRDefault="00685411">
            <w:pPr>
              <w:rPr>
                <w:sz w:val="16"/>
              </w:rPr>
            </w:pPr>
          </w:p>
        </w:tc>
        <w:tc>
          <w:tcPr>
            <w:tcW w:w="1327" w:type="dxa"/>
            <w:gridSpan w:val="3"/>
          </w:tcPr>
          <w:p w:rsidR="00685411" w:rsidRDefault="001405FF">
            <w:pPr>
              <w:jc w:val="center"/>
              <w:rPr>
                <w:sz w:val="16"/>
              </w:rPr>
            </w:pPr>
            <w:r>
              <w:rPr>
                <w:sz w:val="16"/>
              </w:rPr>
              <w:t>Amsterdam</w:t>
            </w:r>
          </w:p>
        </w:tc>
        <w:tc>
          <w:tcPr>
            <w:tcW w:w="270" w:type="dxa"/>
          </w:tcPr>
          <w:p w:rsidR="00685411" w:rsidRDefault="00685411">
            <w:pPr>
              <w:jc w:val="right"/>
              <w:rPr>
                <w:sz w:val="16"/>
              </w:rPr>
            </w:pPr>
          </w:p>
        </w:tc>
        <w:tc>
          <w:tcPr>
            <w:tcW w:w="1737" w:type="dxa"/>
          </w:tcPr>
          <w:p w:rsidR="00685411" w:rsidRDefault="001405FF">
            <w:pPr>
              <w:jc w:val="right"/>
              <w:rPr>
                <w:sz w:val="16"/>
              </w:rPr>
            </w:pPr>
            <w:r>
              <w:rPr>
                <w:sz w:val="16"/>
              </w:rPr>
              <w:t>40,622</w:t>
            </w:r>
          </w:p>
        </w:tc>
        <w:tc>
          <w:tcPr>
            <w:tcW w:w="270" w:type="dxa"/>
          </w:tcPr>
          <w:p w:rsidR="00685411" w:rsidRDefault="00685411">
            <w:pPr>
              <w:jc w:val="right"/>
              <w:rPr>
                <w:sz w:val="16"/>
              </w:rPr>
            </w:pPr>
          </w:p>
        </w:tc>
        <w:tc>
          <w:tcPr>
            <w:tcW w:w="1413" w:type="dxa"/>
          </w:tcPr>
          <w:p w:rsidR="00685411" w:rsidRDefault="001405FF">
            <w:pPr>
              <w:jc w:val="right"/>
              <w:rPr>
                <w:sz w:val="16"/>
              </w:rPr>
            </w:pPr>
            <w:r>
              <w:rPr>
                <w:sz w:val="16"/>
              </w:rPr>
              <w:t>-</w:t>
            </w:r>
          </w:p>
        </w:tc>
        <w:tc>
          <w:tcPr>
            <w:tcW w:w="270" w:type="dxa"/>
          </w:tcPr>
          <w:p w:rsidR="00685411" w:rsidRDefault="00685411">
            <w:pPr>
              <w:jc w:val="right"/>
              <w:rPr>
                <w:sz w:val="16"/>
              </w:rPr>
            </w:pPr>
          </w:p>
        </w:tc>
        <w:tc>
          <w:tcPr>
            <w:tcW w:w="1080" w:type="dxa"/>
          </w:tcPr>
          <w:p w:rsidR="00685411" w:rsidRDefault="001405FF">
            <w:pPr>
              <w:jc w:val="right"/>
              <w:rPr>
                <w:sz w:val="16"/>
              </w:rPr>
            </w:pPr>
            <w:r>
              <w:rPr>
                <w:sz w:val="16"/>
              </w:rPr>
              <w:t>34</w:t>
            </w:r>
          </w:p>
        </w:tc>
      </w:tr>
      <w:tr w:rsidR="00685411">
        <w:trPr>
          <w:cantSplit/>
        </w:trPr>
        <w:tc>
          <w:tcPr>
            <w:tcW w:w="2610" w:type="dxa"/>
          </w:tcPr>
          <w:p w:rsidR="00685411" w:rsidRDefault="001405FF">
            <w:pPr>
              <w:ind w:left="162" w:hanging="162"/>
              <w:rPr>
                <w:sz w:val="16"/>
              </w:rPr>
            </w:pPr>
            <w:r>
              <w:rPr>
                <w:sz w:val="16"/>
              </w:rPr>
              <w:t>Pe</w:t>
            </w:r>
            <w:r>
              <w:rPr>
                <w:sz w:val="16"/>
              </w:rPr>
              <w:t xml:space="preserve">tek International </w:t>
            </w:r>
          </w:p>
        </w:tc>
        <w:tc>
          <w:tcPr>
            <w:tcW w:w="236" w:type="dxa"/>
          </w:tcPr>
          <w:p w:rsidR="00685411" w:rsidRDefault="00685411">
            <w:pPr>
              <w:rPr>
                <w:sz w:val="16"/>
              </w:rPr>
            </w:pPr>
          </w:p>
        </w:tc>
        <w:tc>
          <w:tcPr>
            <w:tcW w:w="1327" w:type="dxa"/>
            <w:gridSpan w:val="3"/>
          </w:tcPr>
          <w:p w:rsidR="00685411" w:rsidRDefault="001405FF">
            <w:pPr>
              <w:jc w:val="center"/>
              <w:rPr>
                <w:sz w:val="16"/>
              </w:rPr>
            </w:pPr>
            <w:r>
              <w:rPr>
                <w:sz w:val="16"/>
              </w:rPr>
              <w:t>Amsterdam</w:t>
            </w:r>
          </w:p>
        </w:tc>
        <w:tc>
          <w:tcPr>
            <w:tcW w:w="270" w:type="dxa"/>
          </w:tcPr>
          <w:p w:rsidR="00685411" w:rsidRDefault="00685411">
            <w:pPr>
              <w:jc w:val="right"/>
              <w:rPr>
                <w:sz w:val="16"/>
              </w:rPr>
            </w:pPr>
          </w:p>
        </w:tc>
        <w:tc>
          <w:tcPr>
            <w:tcW w:w="1737" w:type="dxa"/>
          </w:tcPr>
          <w:p w:rsidR="00685411" w:rsidRDefault="001405FF">
            <w:pPr>
              <w:jc w:val="right"/>
              <w:rPr>
                <w:sz w:val="16"/>
              </w:rPr>
            </w:pPr>
            <w:r>
              <w:rPr>
                <w:sz w:val="16"/>
              </w:rPr>
              <w:t>731</w:t>
            </w:r>
          </w:p>
        </w:tc>
        <w:tc>
          <w:tcPr>
            <w:tcW w:w="270" w:type="dxa"/>
          </w:tcPr>
          <w:p w:rsidR="00685411" w:rsidRDefault="00685411">
            <w:pPr>
              <w:jc w:val="right"/>
              <w:rPr>
                <w:sz w:val="16"/>
              </w:rPr>
            </w:pPr>
          </w:p>
        </w:tc>
        <w:tc>
          <w:tcPr>
            <w:tcW w:w="1413" w:type="dxa"/>
          </w:tcPr>
          <w:p w:rsidR="00685411" w:rsidRDefault="001405FF">
            <w:pPr>
              <w:jc w:val="right"/>
              <w:rPr>
                <w:sz w:val="16"/>
              </w:rPr>
            </w:pPr>
            <w:r>
              <w:rPr>
                <w:sz w:val="16"/>
              </w:rPr>
              <w:t>-</w:t>
            </w:r>
          </w:p>
        </w:tc>
        <w:tc>
          <w:tcPr>
            <w:tcW w:w="270" w:type="dxa"/>
          </w:tcPr>
          <w:p w:rsidR="00685411" w:rsidRDefault="00685411">
            <w:pPr>
              <w:jc w:val="right"/>
              <w:rPr>
                <w:sz w:val="16"/>
              </w:rPr>
            </w:pPr>
          </w:p>
        </w:tc>
        <w:tc>
          <w:tcPr>
            <w:tcW w:w="1080" w:type="dxa"/>
          </w:tcPr>
          <w:p w:rsidR="00685411" w:rsidRDefault="001405FF">
            <w:pPr>
              <w:jc w:val="right"/>
              <w:rPr>
                <w:sz w:val="16"/>
              </w:rPr>
            </w:pPr>
            <w:r>
              <w:rPr>
                <w:sz w:val="16"/>
              </w:rPr>
              <w:t>-</w:t>
            </w:r>
          </w:p>
        </w:tc>
      </w:tr>
      <w:tr w:rsidR="00685411">
        <w:trPr>
          <w:cantSplit/>
        </w:trPr>
        <w:tc>
          <w:tcPr>
            <w:tcW w:w="2610" w:type="dxa"/>
          </w:tcPr>
          <w:p w:rsidR="00685411" w:rsidRDefault="001405FF">
            <w:pPr>
              <w:ind w:left="162" w:hanging="162"/>
              <w:rPr>
                <w:sz w:val="16"/>
                <w:lang w:val="de-DE"/>
              </w:rPr>
            </w:pPr>
            <w:r>
              <w:rPr>
                <w:sz w:val="16"/>
                <w:lang w:val="de-DE"/>
              </w:rPr>
              <w:t xml:space="preserve">TEB Menkul </w:t>
            </w:r>
          </w:p>
        </w:tc>
        <w:tc>
          <w:tcPr>
            <w:tcW w:w="236" w:type="dxa"/>
          </w:tcPr>
          <w:p w:rsidR="00685411" w:rsidRDefault="00685411">
            <w:pPr>
              <w:rPr>
                <w:sz w:val="16"/>
                <w:lang w:val="de-DE"/>
              </w:rPr>
            </w:pPr>
          </w:p>
        </w:tc>
        <w:tc>
          <w:tcPr>
            <w:tcW w:w="1327" w:type="dxa"/>
            <w:gridSpan w:val="3"/>
          </w:tcPr>
          <w:p w:rsidR="00685411" w:rsidRDefault="001405FF">
            <w:pPr>
              <w:pStyle w:val="Pages"/>
              <w:jc w:val="center"/>
              <w:rPr>
                <w:sz w:val="16"/>
                <w:lang w:val="de-DE"/>
              </w:rPr>
            </w:pPr>
            <w:r>
              <w:rPr>
                <w:sz w:val="16"/>
                <w:lang w:val="de-DE"/>
              </w:rPr>
              <w:t>İstanbul</w:t>
            </w:r>
          </w:p>
        </w:tc>
        <w:tc>
          <w:tcPr>
            <w:tcW w:w="270" w:type="dxa"/>
          </w:tcPr>
          <w:p w:rsidR="00685411" w:rsidRDefault="00685411">
            <w:pPr>
              <w:jc w:val="right"/>
              <w:rPr>
                <w:sz w:val="16"/>
                <w:lang w:val="de-DE"/>
              </w:rPr>
            </w:pPr>
          </w:p>
        </w:tc>
        <w:tc>
          <w:tcPr>
            <w:tcW w:w="1737" w:type="dxa"/>
          </w:tcPr>
          <w:p w:rsidR="00685411" w:rsidRDefault="001405FF">
            <w:pPr>
              <w:jc w:val="right"/>
              <w:rPr>
                <w:sz w:val="16"/>
              </w:rPr>
            </w:pPr>
            <w:r>
              <w:rPr>
                <w:sz w:val="16"/>
              </w:rPr>
              <w:t>10,000</w:t>
            </w:r>
          </w:p>
        </w:tc>
        <w:tc>
          <w:tcPr>
            <w:tcW w:w="270" w:type="dxa"/>
          </w:tcPr>
          <w:p w:rsidR="00685411" w:rsidRDefault="00685411">
            <w:pPr>
              <w:jc w:val="right"/>
              <w:rPr>
                <w:sz w:val="16"/>
              </w:rPr>
            </w:pPr>
          </w:p>
        </w:tc>
        <w:tc>
          <w:tcPr>
            <w:tcW w:w="1413" w:type="dxa"/>
          </w:tcPr>
          <w:p w:rsidR="00685411" w:rsidRDefault="001405FF">
            <w:pPr>
              <w:jc w:val="right"/>
              <w:rPr>
                <w:sz w:val="16"/>
              </w:rPr>
            </w:pPr>
            <w:r>
              <w:rPr>
                <w:sz w:val="16"/>
              </w:rPr>
              <w:t>12,496</w:t>
            </w:r>
          </w:p>
        </w:tc>
        <w:tc>
          <w:tcPr>
            <w:tcW w:w="270" w:type="dxa"/>
          </w:tcPr>
          <w:p w:rsidR="00685411" w:rsidRDefault="00685411">
            <w:pPr>
              <w:jc w:val="right"/>
              <w:rPr>
                <w:sz w:val="16"/>
              </w:rPr>
            </w:pPr>
          </w:p>
        </w:tc>
        <w:tc>
          <w:tcPr>
            <w:tcW w:w="1080" w:type="dxa"/>
          </w:tcPr>
          <w:p w:rsidR="00685411" w:rsidRDefault="001405FF">
            <w:pPr>
              <w:jc w:val="right"/>
              <w:rPr>
                <w:sz w:val="16"/>
              </w:rPr>
            </w:pPr>
            <w:r>
              <w:rPr>
                <w:sz w:val="16"/>
              </w:rPr>
              <w:t>126</w:t>
            </w:r>
          </w:p>
        </w:tc>
      </w:tr>
      <w:tr w:rsidR="00685411">
        <w:trPr>
          <w:cantSplit/>
        </w:trPr>
        <w:tc>
          <w:tcPr>
            <w:tcW w:w="2610" w:type="dxa"/>
          </w:tcPr>
          <w:p w:rsidR="00685411" w:rsidRDefault="001405FF">
            <w:pPr>
              <w:ind w:left="162" w:hanging="162"/>
              <w:rPr>
                <w:sz w:val="16"/>
              </w:rPr>
            </w:pPr>
            <w:r>
              <w:rPr>
                <w:sz w:val="16"/>
              </w:rPr>
              <w:t xml:space="preserve">TEB Finansal </w:t>
            </w:r>
          </w:p>
        </w:tc>
        <w:tc>
          <w:tcPr>
            <w:tcW w:w="236" w:type="dxa"/>
          </w:tcPr>
          <w:p w:rsidR="00685411" w:rsidRDefault="00685411">
            <w:pPr>
              <w:rPr>
                <w:sz w:val="16"/>
              </w:rPr>
            </w:pPr>
          </w:p>
        </w:tc>
        <w:tc>
          <w:tcPr>
            <w:tcW w:w="1327" w:type="dxa"/>
            <w:gridSpan w:val="3"/>
          </w:tcPr>
          <w:p w:rsidR="00685411" w:rsidRDefault="001405FF">
            <w:pPr>
              <w:jc w:val="center"/>
              <w:rPr>
                <w:sz w:val="16"/>
              </w:rPr>
            </w:pPr>
            <w:r>
              <w:rPr>
                <w:sz w:val="16"/>
              </w:rPr>
              <w:t>İstanbul</w:t>
            </w:r>
          </w:p>
        </w:tc>
        <w:tc>
          <w:tcPr>
            <w:tcW w:w="270" w:type="dxa"/>
          </w:tcPr>
          <w:p w:rsidR="00685411" w:rsidRDefault="00685411">
            <w:pPr>
              <w:jc w:val="right"/>
              <w:rPr>
                <w:sz w:val="16"/>
              </w:rPr>
            </w:pPr>
          </w:p>
        </w:tc>
        <w:tc>
          <w:tcPr>
            <w:tcW w:w="1737" w:type="dxa"/>
          </w:tcPr>
          <w:p w:rsidR="00685411" w:rsidRDefault="001405FF">
            <w:pPr>
              <w:jc w:val="right"/>
              <w:rPr>
                <w:sz w:val="16"/>
              </w:rPr>
            </w:pPr>
            <w:r>
              <w:rPr>
                <w:sz w:val="16"/>
              </w:rPr>
              <w:t>10,000</w:t>
            </w:r>
          </w:p>
        </w:tc>
        <w:tc>
          <w:tcPr>
            <w:tcW w:w="270" w:type="dxa"/>
          </w:tcPr>
          <w:p w:rsidR="00685411" w:rsidRDefault="00685411">
            <w:pPr>
              <w:jc w:val="right"/>
              <w:rPr>
                <w:sz w:val="16"/>
              </w:rPr>
            </w:pPr>
          </w:p>
        </w:tc>
        <w:tc>
          <w:tcPr>
            <w:tcW w:w="1413" w:type="dxa"/>
          </w:tcPr>
          <w:p w:rsidR="00685411" w:rsidRDefault="001405FF">
            <w:pPr>
              <w:jc w:val="right"/>
              <w:rPr>
                <w:sz w:val="16"/>
              </w:rPr>
            </w:pPr>
            <w:r>
              <w:rPr>
                <w:sz w:val="16"/>
              </w:rPr>
              <w:t>18,229</w:t>
            </w:r>
          </w:p>
        </w:tc>
        <w:tc>
          <w:tcPr>
            <w:tcW w:w="270" w:type="dxa"/>
          </w:tcPr>
          <w:p w:rsidR="00685411" w:rsidRDefault="00685411">
            <w:pPr>
              <w:jc w:val="right"/>
              <w:rPr>
                <w:sz w:val="16"/>
              </w:rPr>
            </w:pPr>
          </w:p>
        </w:tc>
        <w:tc>
          <w:tcPr>
            <w:tcW w:w="1080" w:type="dxa"/>
          </w:tcPr>
          <w:p w:rsidR="00685411" w:rsidRDefault="001405FF">
            <w:pPr>
              <w:jc w:val="right"/>
              <w:rPr>
                <w:sz w:val="16"/>
              </w:rPr>
            </w:pPr>
            <w:r>
              <w:rPr>
                <w:sz w:val="16"/>
              </w:rPr>
              <w:t>35</w:t>
            </w:r>
          </w:p>
        </w:tc>
      </w:tr>
      <w:tr w:rsidR="00685411">
        <w:trPr>
          <w:cantSplit/>
        </w:trPr>
        <w:tc>
          <w:tcPr>
            <w:tcW w:w="2610" w:type="dxa"/>
          </w:tcPr>
          <w:p w:rsidR="00685411" w:rsidRDefault="001405FF">
            <w:pPr>
              <w:ind w:left="162" w:hanging="162"/>
              <w:rPr>
                <w:sz w:val="16"/>
              </w:rPr>
            </w:pPr>
            <w:r>
              <w:rPr>
                <w:sz w:val="16"/>
              </w:rPr>
              <w:t xml:space="preserve">TEB Factoring </w:t>
            </w:r>
          </w:p>
        </w:tc>
        <w:tc>
          <w:tcPr>
            <w:tcW w:w="236" w:type="dxa"/>
          </w:tcPr>
          <w:p w:rsidR="00685411" w:rsidRDefault="00685411">
            <w:pPr>
              <w:rPr>
                <w:sz w:val="16"/>
              </w:rPr>
            </w:pPr>
          </w:p>
        </w:tc>
        <w:tc>
          <w:tcPr>
            <w:tcW w:w="1327" w:type="dxa"/>
            <w:gridSpan w:val="3"/>
          </w:tcPr>
          <w:p w:rsidR="00685411" w:rsidRDefault="001405FF">
            <w:pPr>
              <w:jc w:val="center"/>
              <w:rPr>
                <w:sz w:val="16"/>
              </w:rPr>
            </w:pPr>
            <w:r>
              <w:rPr>
                <w:sz w:val="16"/>
              </w:rPr>
              <w:t>İstanbul</w:t>
            </w:r>
          </w:p>
        </w:tc>
        <w:tc>
          <w:tcPr>
            <w:tcW w:w="270" w:type="dxa"/>
          </w:tcPr>
          <w:p w:rsidR="00685411" w:rsidRDefault="00685411">
            <w:pPr>
              <w:jc w:val="right"/>
              <w:rPr>
                <w:sz w:val="16"/>
              </w:rPr>
            </w:pPr>
          </w:p>
        </w:tc>
        <w:tc>
          <w:tcPr>
            <w:tcW w:w="1737" w:type="dxa"/>
          </w:tcPr>
          <w:p w:rsidR="00685411" w:rsidRDefault="001405FF">
            <w:pPr>
              <w:jc w:val="right"/>
              <w:rPr>
                <w:sz w:val="16"/>
              </w:rPr>
            </w:pPr>
            <w:r>
              <w:rPr>
                <w:sz w:val="16"/>
              </w:rPr>
              <w:t>6,200</w:t>
            </w:r>
          </w:p>
        </w:tc>
        <w:tc>
          <w:tcPr>
            <w:tcW w:w="270" w:type="dxa"/>
          </w:tcPr>
          <w:p w:rsidR="00685411" w:rsidRDefault="00685411">
            <w:pPr>
              <w:jc w:val="right"/>
              <w:rPr>
                <w:sz w:val="16"/>
              </w:rPr>
            </w:pPr>
          </w:p>
        </w:tc>
        <w:tc>
          <w:tcPr>
            <w:tcW w:w="1413" w:type="dxa"/>
          </w:tcPr>
          <w:p w:rsidR="00685411" w:rsidRDefault="001405FF">
            <w:pPr>
              <w:jc w:val="right"/>
              <w:rPr>
                <w:sz w:val="16"/>
              </w:rPr>
            </w:pPr>
            <w:r>
              <w:rPr>
                <w:sz w:val="16"/>
              </w:rPr>
              <w:t>11,805</w:t>
            </w:r>
          </w:p>
        </w:tc>
        <w:tc>
          <w:tcPr>
            <w:tcW w:w="270" w:type="dxa"/>
          </w:tcPr>
          <w:p w:rsidR="00685411" w:rsidRDefault="00685411">
            <w:pPr>
              <w:jc w:val="right"/>
              <w:rPr>
                <w:sz w:val="16"/>
              </w:rPr>
            </w:pPr>
          </w:p>
        </w:tc>
        <w:tc>
          <w:tcPr>
            <w:tcW w:w="1080" w:type="dxa"/>
          </w:tcPr>
          <w:p w:rsidR="00685411" w:rsidRDefault="001405FF">
            <w:pPr>
              <w:jc w:val="right"/>
              <w:rPr>
                <w:sz w:val="16"/>
              </w:rPr>
            </w:pPr>
            <w:r>
              <w:rPr>
                <w:sz w:val="16"/>
              </w:rPr>
              <w:t>34</w:t>
            </w:r>
          </w:p>
        </w:tc>
      </w:tr>
      <w:tr w:rsidR="00685411">
        <w:trPr>
          <w:cantSplit/>
        </w:trPr>
        <w:tc>
          <w:tcPr>
            <w:tcW w:w="2610" w:type="dxa"/>
          </w:tcPr>
          <w:p w:rsidR="00685411" w:rsidRDefault="001405FF">
            <w:pPr>
              <w:ind w:left="162" w:hanging="162"/>
              <w:rPr>
                <w:sz w:val="16"/>
              </w:rPr>
            </w:pPr>
            <w:r>
              <w:rPr>
                <w:sz w:val="16"/>
              </w:rPr>
              <w:t>TEB Portföy</w:t>
            </w:r>
          </w:p>
        </w:tc>
        <w:tc>
          <w:tcPr>
            <w:tcW w:w="236" w:type="dxa"/>
          </w:tcPr>
          <w:p w:rsidR="00685411" w:rsidRDefault="00685411">
            <w:pPr>
              <w:rPr>
                <w:sz w:val="16"/>
              </w:rPr>
            </w:pPr>
          </w:p>
        </w:tc>
        <w:tc>
          <w:tcPr>
            <w:tcW w:w="1327" w:type="dxa"/>
            <w:gridSpan w:val="3"/>
          </w:tcPr>
          <w:p w:rsidR="00685411" w:rsidRDefault="001405FF">
            <w:pPr>
              <w:jc w:val="center"/>
              <w:rPr>
                <w:sz w:val="16"/>
              </w:rPr>
            </w:pPr>
            <w:r>
              <w:rPr>
                <w:sz w:val="16"/>
              </w:rPr>
              <w:t>İstanbul</w:t>
            </w:r>
          </w:p>
        </w:tc>
        <w:tc>
          <w:tcPr>
            <w:tcW w:w="270" w:type="dxa"/>
          </w:tcPr>
          <w:p w:rsidR="00685411" w:rsidRDefault="00685411">
            <w:pPr>
              <w:jc w:val="right"/>
              <w:rPr>
                <w:sz w:val="16"/>
              </w:rPr>
            </w:pPr>
          </w:p>
        </w:tc>
        <w:tc>
          <w:tcPr>
            <w:tcW w:w="1737" w:type="dxa"/>
          </w:tcPr>
          <w:p w:rsidR="00685411" w:rsidRDefault="001405FF">
            <w:pPr>
              <w:jc w:val="right"/>
              <w:rPr>
                <w:sz w:val="16"/>
              </w:rPr>
            </w:pPr>
            <w:r>
              <w:rPr>
                <w:sz w:val="16"/>
              </w:rPr>
              <w:t>1,000</w:t>
            </w:r>
          </w:p>
        </w:tc>
        <w:tc>
          <w:tcPr>
            <w:tcW w:w="270" w:type="dxa"/>
          </w:tcPr>
          <w:p w:rsidR="00685411" w:rsidRDefault="00685411">
            <w:pPr>
              <w:jc w:val="right"/>
              <w:rPr>
                <w:sz w:val="16"/>
              </w:rPr>
            </w:pPr>
          </w:p>
        </w:tc>
        <w:tc>
          <w:tcPr>
            <w:tcW w:w="1413" w:type="dxa"/>
          </w:tcPr>
          <w:p w:rsidR="00685411" w:rsidRDefault="001405FF">
            <w:pPr>
              <w:jc w:val="right"/>
              <w:rPr>
                <w:sz w:val="16"/>
              </w:rPr>
            </w:pPr>
            <w:r>
              <w:rPr>
                <w:sz w:val="16"/>
              </w:rPr>
              <w:t>1,679</w:t>
            </w:r>
          </w:p>
        </w:tc>
        <w:tc>
          <w:tcPr>
            <w:tcW w:w="270" w:type="dxa"/>
          </w:tcPr>
          <w:p w:rsidR="00685411" w:rsidRDefault="00685411">
            <w:pPr>
              <w:jc w:val="right"/>
              <w:rPr>
                <w:sz w:val="16"/>
              </w:rPr>
            </w:pPr>
          </w:p>
        </w:tc>
        <w:tc>
          <w:tcPr>
            <w:tcW w:w="1080" w:type="dxa"/>
          </w:tcPr>
          <w:p w:rsidR="00685411" w:rsidRDefault="001405FF">
            <w:pPr>
              <w:jc w:val="right"/>
              <w:rPr>
                <w:sz w:val="16"/>
              </w:rPr>
            </w:pPr>
            <w:r>
              <w:rPr>
                <w:sz w:val="16"/>
              </w:rPr>
              <w:t>16</w:t>
            </w:r>
          </w:p>
        </w:tc>
      </w:tr>
      <w:tr w:rsidR="00685411">
        <w:trPr>
          <w:cantSplit/>
        </w:trPr>
        <w:tc>
          <w:tcPr>
            <w:tcW w:w="2610" w:type="dxa"/>
          </w:tcPr>
          <w:p w:rsidR="00685411" w:rsidRDefault="001405FF">
            <w:pPr>
              <w:ind w:left="162" w:hanging="162"/>
              <w:rPr>
                <w:sz w:val="16"/>
                <w:lang w:val="de-DE"/>
              </w:rPr>
            </w:pPr>
            <w:r>
              <w:rPr>
                <w:sz w:val="16"/>
                <w:lang w:val="de-DE"/>
              </w:rPr>
              <w:t xml:space="preserve">TEB Sigorta </w:t>
            </w:r>
          </w:p>
        </w:tc>
        <w:tc>
          <w:tcPr>
            <w:tcW w:w="236" w:type="dxa"/>
          </w:tcPr>
          <w:p w:rsidR="00685411" w:rsidRDefault="00685411">
            <w:pPr>
              <w:rPr>
                <w:sz w:val="16"/>
                <w:lang w:val="de-DE"/>
              </w:rPr>
            </w:pPr>
          </w:p>
        </w:tc>
        <w:tc>
          <w:tcPr>
            <w:tcW w:w="1327" w:type="dxa"/>
            <w:gridSpan w:val="3"/>
          </w:tcPr>
          <w:p w:rsidR="00685411" w:rsidRDefault="001405FF">
            <w:pPr>
              <w:jc w:val="center"/>
              <w:rPr>
                <w:sz w:val="16"/>
                <w:lang w:val="de-DE"/>
              </w:rPr>
            </w:pPr>
            <w:r>
              <w:rPr>
                <w:sz w:val="16"/>
                <w:lang w:val="de-DE"/>
              </w:rPr>
              <w:t>İstanbul</w:t>
            </w:r>
          </w:p>
        </w:tc>
        <w:tc>
          <w:tcPr>
            <w:tcW w:w="270" w:type="dxa"/>
          </w:tcPr>
          <w:p w:rsidR="00685411" w:rsidRDefault="00685411">
            <w:pPr>
              <w:jc w:val="right"/>
              <w:rPr>
                <w:sz w:val="16"/>
                <w:lang w:val="de-DE"/>
              </w:rPr>
            </w:pPr>
          </w:p>
        </w:tc>
        <w:tc>
          <w:tcPr>
            <w:tcW w:w="1737" w:type="dxa"/>
          </w:tcPr>
          <w:p w:rsidR="00685411" w:rsidRDefault="001405FF">
            <w:pPr>
              <w:jc w:val="right"/>
              <w:rPr>
                <w:sz w:val="16"/>
              </w:rPr>
            </w:pPr>
            <w:r>
              <w:rPr>
                <w:sz w:val="16"/>
              </w:rPr>
              <w:t>3,325</w:t>
            </w:r>
          </w:p>
        </w:tc>
        <w:tc>
          <w:tcPr>
            <w:tcW w:w="270" w:type="dxa"/>
          </w:tcPr>
          <w:p w:rsidR="00685411" w:rsidRDefault="00685411">
            <w:pPr>
              <w:jc w:val="right"/>
              <w:rPr>
                <w:sz w:val="16"/>
              </w:rPr>
            </w:pPr>
          </w:p>
        </w:tc>
        <w:tc>
          <w:tcPr>
            <w:tcW w:w="1413" w:type="dxa"/>
          </w:tcPr>
          <w:p w:rsidR="00685411" w:rsidRDefault="001405FF">
            <w:pPr>
              <w:jc w:val="right"/>
              <w:rPr>
                <w:sz w:val="16"/>
              </w:rPr>
            </w:pPr>
            <w:r>
              <w:rPr>
                <w:sz w:val="16"/>
              </w:rPr>
              <w:t>6,435</w:t>
            </w:r>
          </w:p>
        </w:tc>
        <w:tc>
          <w:tcPr>
            <w:tcW w:w="270" w:type="dxa"/>
          </w:tcPr>
          <w:p w:rsidR="00685411" w:rsidRDefault="00685411">
            <w:pPr>
              <w:jc w:val="right"/>
              <w:rPr>
                <w:sz w:val="16"/>
              </w:rPr>
            </w:pPr>
          </w:p>
        </w:tc>
        <w:tc>
          <w:tcPr>
            <w:tcW w:w="1080" w:type="dxa"/>
          </w:tcPr>
          <w:p w:rsidR="00685411" w:rsidRDefault="001405FF">
            <w:pPr>
              <w:jc w:val="right"/>
              <w:rPr>
                <w:sz w:val="16"/>
              </w:rPr>
            </w:pPr>
            <w:r>
              <w:rPr>
                <w:sz w:val="16"/>
              </w:rPr>
              <w:t>6</w:t>
            </w:r>
            <w:r>
              <w:rPr>
                <w:sz w:val="16"/>
              </w:rPr>
              <w:t>8</w:t>
            </w:r>
          </w:p>
        </w:tc>
      </w:tr>
    </w:tbl>
    <w:p w:rsidR="00685411" w:rsidRDefault="00685411">
      <w:pPr>
        <w:pStyle w:val="BodyTextIndent"/>
        <w:ind w:left="0" w:firstLine="0"/>
        <w:rPr>
          <w:b/>
        </w:rPr>
      </w:pPr>
    </w:p>
    <w:p w:rsidR="00685411" w:rsidRDefault="00685411">
      <w:pPr>
        <w:tabs>
          <w:tab w:val="left" w:pos="864"/>
          <w:tab w:val="left" w:pos="2160"/>
          <w:tab w:val="left" w:pos="8280"/>
        </w:tabs>
        <w:ind w:right="-346"/>
        <w:jc w:val="both"/>
        <w:sectPr w:rsidR="00685411">
          <w:headerReference w:type="even" r:id="rId8"/>
          <w:headerReference w:type="default" r:id="rId9"/>
          <w:headerReference w:type="first" r:id="rId10"/>
          <w:pgSz w:w="11894" w:h="16834"/>
          <w:pgMar w:top="1260" w:right="1440" w:bottom="1440" w:left="1440" w:header="708" w:footer="708" w:gutter="0"/>
          <w:cols w:space="708"/>
          <w:noEndnote/>
          <w:titlePg/>
        </w:sectPr>
      </w:pPr>
    </w:p>
    <w:p w:rsidR="00685411" w:rsidRDefault="001405FF">
      <w:pPr>
        <w:tabs>
          <w:tab w:val="left" w:pos="576"/>
          <w:tab w:val="left" w:pos="864"/>
          <w:tab w:val="left" w:pos="1584"/>
          <w:tab w:val="left" w:pos="2016"/>
          <w:tab w:val="left" w:pos="4032"/>
        </w:tabs>
        <w:ind w:right="14"/>
        <w:jc w:val="center"/>
      </w:pPr>
      <w:r>
        <w:t>(CONVENIENCE TRANSLATION OF A REPORT AND FINANCIAL STATEMENTS</w:t>
      </w:r>
    </w:p>
    <w:p w:rsidR="00685411" w:rsidRDefault="001405FF">
      <w:pPr>
        <w:tabs>
          <w:tab w:val="left" w:pos="576"/>
          <w:tab w:val="left" w:pos="864"/>
          <w:tab w:val="left" w:pos="1584"/>
          <w:tab w:val="left" w:pos="2016"/>
          <w:tab w:val="left" w:pos="4032"/>
        </w:tabs>
        <w:ind w:right="14"/>
        <w:jc w:val="center"/>
      </w:pPr>
      <w:r>
        <w:t xml:space="preserve">ORIGINALLY ISSUED IN </w:t>
      </w:r>
      <w:r>
        <w:t>TURKISH – SEE NOTE 9)</w:t>
      </w:r>
    </w:p>
    <w:p w:rsidR="00685411" w:rsidRDefault="00685411">
      <w:pPr>
        <w:tabs>
          <w:tab w:val="left" w:pos="1584"/>
        </w:tabs>
        <w:ind w:right="14"/>
      </w:pPr>
    </w:p>
    <w:p w:rsidR="00685411" w:rsidRDefault="00685411">
      <w:pPr>
        <w:pStyle w:val="BodyText2"/>
        <w:jc w:val="center"/>
      </w:pPr>
    </w:p>
    <w:p w:rsidR="00685411" w:rsidRDefault="001405FF">
      <w:pPr>
        <w:pStyle w:val="BodyText2"/>
        <w:jc w:val="center"/>
      </w:pPr>
      <w:r>
        <w:t>-2-</w:t>
      </w:r>
    </w:p>
    <w:p w:rsidR="00685411" w:rsidRDefault="00685411">
      <w:pPr>
        <w:pStyle w:val="BodyText2"/>
        <w:jc w:val="center"/>
      </w:pPr>
    </w:p>
    <w:p w:rsidR="00685411" w:rsidRDefault="001405FF">
      <w:pPr>
        <w:pStyle w:val="BodyText2"/>
        <w:jc w:val="left"/>
      </w:pPr>
      <w:r>
        <w:t>Breakdown of shareholders in the capital structures having an important share percentage of subsidiaries, participations and affiliates that were included in consolidation in the accompanying consolidated financial statements:</w:t>
      </w:r>
    </w:p>
    <w:p w:rsidR="00685411" w:rsidRDefault="00685411">
      <w:pPr>
        <w:pStyle w:val="BodyText2"/>
        <w:jc w:val="left"/>
      </w:pPr>
    </w:p>
    <w:tbl>
      <w:tblPr>
        <w:tblW w:w="14580" w:type="dxa"/>
        <w:tblInd w:w="-432" w:type="dxa"/>
        <w:tblLayout w:type="fixed"/>
        <w:tblLook w:val="0000" w:firstRow="0" w:lastRow="0" w:firstColumn="0" w:lastColumn="0" w:noHBand="0" w:noVBand="0"/>
      </w:tblPr>
      <w:tblGrid>
        <w:gridCol w:w="720"/>
        <w:gridCol w:w="5040"/>
        <w:gridCol w:w="1440"/>
        <w:gridCol w:w="1620"/>
        <w:gridCol w:w="1260"/>
        <w:gridCol w:w="1080"/>
        <w:gridCol w:w="1260"/>
        <w:gridCol w:w="1080"/>
        <w:gridCol w:w="1080"/>
      </w:tblGrid>
      <w:tr w:rsidR="00685411">
        <w:trPr>
          <w:cantSplit/>
        </w:trPr>
        <w:tc>
          <w:tcPr>
            <w:tcW w:w="720" w:type="dxa"/>
            <w:tcBorders>
              <w:bottom w:val="single" w:sz="4" w:space="0" w:color="auto"/>
            </w:tcBorders>
          </w:tcPr>
          <w:p w:rsidR="00685411" w:rsidRDefault="00685411">
            <w:pPr>
              <w:ind w:left="252" w:hanging="252"/>
              <w:rPr>
                <w:sz w:val="20"/>
              </w:rPr>
            </w:pPr>
          </w:p>
        </w:tc>
        <w:tc>
          <w:tcPr>
            <w:tcW w:w="5040" w:type="dxa"/>
            <w:tcBorders>
              <w:bottom w:val="single" w:sz="4" w:space="0" w:color="auto"/>
            </w:tcBorders>
          </w:tcPr>
          <w:p w:rsidR="00685411" w:rsidRDefault="00685411">
            <w:pPr>
              <w:ind w:left="252" w:hanging="252"/>
              <w:rPr>
                <w:sz w:val="20"/>
              </w:rPr>
            </w:pPr>
          </w:p>
          <w:p w:rsidR="00685411" w:rsidRDefault="00685411">
            <w:pPr>
              <w:ind w:left="252" w:hanging="252"/>
              <w:rPr>
                <w:sz w:val="20"/>
              </w:rPr>
            </w:pPr>
          </w:p>
          <w:p w:rsidR="00685411" w:rsidRDefault="001405FF">
            <w:pPr>
              <w:ind w:left="252" w:hanging="252"/>
              <w:rPr>
                <w:sz w:val="20"/>
              </w:rPr>
            </w:pPr>
            <w:r>
              <w:rPr>
                <w:sz w:val="20"/>
              </w:rPr>
              <w:t xml:space="preserve">Share owned by the parent </w:t>
            </w:r>
          </w:p>
          <w:p w:rsidR="00685411" w:rsidRDefault="001405FF">
            <w:pPr>
              <w:ind w:left="252" w:hanging="252"/>
              <w:rPr>
                <w:sz w:val="20"/>
              </w:rPr>
            </w:pPr>
            <w:r>
              <w:rPr>
                <w:sz w:val="20"/>
              </w:rPr>
              <w:t xml:space="preserve">     company and others </w:t>
            </w:r>
          </w:p>
          <w:p w:rsidR="00685411" w:rsidRDefault="001405FF">
            <w:pPr>
              <w:ind w:left="252" w:hanging="252"/>
              <w:rPr>
                <w:sz w:val="20"/>
              </w:rPr>
            </w:pPr>
            <w:r>
              <w:rPr>
                <w:sz w:val="20"/>
              </w:rPr>
              <w:t xml:space="preserve">     (Billions of TL)</w:t>
            </w:r>
          </w:p>
        </w:tc>
        <w:tc>
          <w:tcPr>
            <w:tcW w:w="1440" w:type="dxa"/>
            <w:tcBorders>
              <w:bottom w:val="single" w:sz="4" w:space="0" w:color="auto"/>
            </w:tcBorders>
          </w:tcPr>
          <w:p w:rsidR="00685411" w:rsidRDefault="00685411">
            <w:pPr>
              <w:rPr>
                <w:rFonts w:cs="Arial"/>
              </w:rPr>
            </w:pPr>
          </w:p>
          <w:p w:rsidR="00685411" w:rsidRDefault="00685411">
            <w:pPr>
              <w:jc w:val="center"/>
              <w:rPr>
                <w:rFonts w:cs="Arial"/>
                <w:sz w:val="20"/>
              </w:rPr>
            </w:pPr>
          </w:p>
          <w:p w:rsidR="00685411" w:rsidRDefault="00685411">
            <w:pPr>
              <w:jc w:val="center"/>
              <w:rPr>
                <w:rFonts w:cs="Arial"/>
                <w:sz w:val="20"/>
              </w:rPr>
            </w:pPr>
          </w:p>
          <w:p w:rsidR="00685411" w:rsidRDefault="001405FF">
            <w:pPr>
              <w:jc w:val="center"/>
              <w:rPr>
                <w:rFonts w:cs="Arial"/>
              </w:rPr>
            </w:pPr>
            <w:r>
              <w:rPr>
                <w:rFonts w:cs="Arial"/>
              </w:rPr>
              <w:t>The Economy</w:t>
            </w:r>
          </w:p>
          <w:p w:rsidR="00685411" w:rsidRDefault="001405FF">
            <w:pPr>
              <w:jc w:val="center"/>
              <w:rPr>
                <w:rFonts w:cs="Arial"/>
                <w:sz w:val="20"/>
              </w:rPr>
            </w:pPr>
            <w:r>
              <w:rPr>
                <w:rFonts w:cs="Arial"/>
              </w:rPr>
              <w:t>Bank (*)</w:t>
            </w:r>
          </w:p>
        </w:tc>
        <w:tc>
          <w:tcPr>
            <w:tcW w:w="1620" w:type="dxa"/>
            <w:tcBorders>
              <w:bottom w:val="single" w:sz="4" w:space="0" w:color="auto"/>
            </w:tcBorders>
          </w:tcPr>
          <w:p w:rsidR="00685411" w:rsidRDefault="00685411">
            <w:pPr>
              <w:jc w:val="center"/>
              <w:rPr>
                <w:rFonts w:cs="Arial"/>
                <w:sz w:val="20"/>
              </w:rPr>
            </w:pPr>
          </w:p>
          <w:p w:rsidR="00685411" w:rsidRDefault="00685411">
            <w:pPr>
              <w:jc w:val="center"/>
              <w:rPr>
                <w:rFonts w:cs="Arial"/>
                <w:sz w:val="20"/>
              </w:rPr>
            </w:pPr>
          </w:p>
          <w:p w:rsidR="00685411" w:rsidRDefault="00685411">
            <w:pPr>
              <w:jc w:val="center"/>
              <w:rPr>
                <w:rFonts w:cs="Arial"/>
                <w:sz w:val="20"/>
              </w:rPr>
            </w:pPr>
          </w:p>
          <w:p w:rsidR="00685411" w:rsidRDefault="001405FF">
            <w:pPr>
              <w:jc w:val="center"/>
              <w:rPr>
                <w:rFonts w:cs="Arial"/>
              </w:rPr>
            </w:pPr>
            <w:r>
              <w:rPr>
                <w:rFonts w:cs="Arial"/>
              </w:rPr>
              <w:t>Petek</w:t>
            </w:r>
          </w:p>
          <w:p w:rsidR="00685411" w:rsidRDefault="001405FF">
            <w:pPr>
              <w:jc w:val="center"/>
              <w:rPr>
                <w:rFonts w:cs="Arial"/>
                <w:sz w:val="20"/>
              </w:rPr>
            </w:pPr>
            <w:r>
              <w:rPr>
                <w:rFonts w:cs="Arial"/>
              </w:rPr>
              <w:t>International (*)</w:t>
            </w:r>
          </w:p>
        </w:tc>
        <w:tc>
          <w:tcPr>
            <w:tcW w:w="1260" w:type="dxa"/>
            <w:tcBorders>
              <w:bottom w:val="single" w:sz="4" w:space="0" w:color="auto"/>
            </w:tcBorders>
          </w:tcPr>
          <w:p w:rsidR="00685411" w:rsidRDefault="00685411">
            <w:pPr>
              <w:jc w:val="center"/>
            </w:pPr>
          </w:p>
          <w:p w:rsidR="00685411" w:rsidRDefault="00685411">
            <w:pPr>
              <w:jc w:val="center"/>
            </w:pPr>
          </w:p>
          <w:p w:rsidR="00685411" w:rsidRDefault="00685411">
            <w:pPr>
              <w:rPr>
                <w:rFonts w:cs="Arial"/>
              </w:rPr>
            </w:pPr>
          </w:p>
          <w:p w:rsidR="00685411" w:rsidRDefault="001405FF">
            <w:pPr>
              <w:jc w:val="center"/>
              <w:rPr>
                <w:rFonts w:cs="Arial"/>
              </w:rPr>
            </w:pPr>
            <w:r>
              <w:rPr>
                <w:rFonts w:cs="Arial"/>
              </w:rPr>
              <w:t>TEB</w:t>
            </w:r>
          </w:p>
          <w:p w:rsidR="00685411" w:rsidRDefault="001405FF">
            <w:pPr>
              <w:jc w:val="center"/>
            </w:pPr>
            <w:r>
              <w:rPr>
                <w:rFonts w:cs="Arial"/>
              </w:rPr>
              <w:t>Menkul</w:t>
            </w:r>
          </w:p>
        </w:tc>
        <w:tc>
          <w:tcPr>
            <w:tcW w:w="1080" w:type="dxa"/>
            <w:tcBorders>
              <w:bottom w:val="single" w:sz="4" w:space="0" w:color="auto"/>
            </w:tcBorders>
          </w:tcPr>
          <w:p w:rsidR="00685411" w:rsidRDefault="00685411">
            <w:pPr>
              <w:ind w:left="162" w:hanging="162"/>
              <w:jc w:val="center"/>
            </w:pPr>
          </w:p>
          <w:p w:rsidR="00685411" w:rsidRDefault="00685411">
            <w:pPr>
              <w:ind w:left="162" w:hanging="162"/>
              <w:jc w:val="center"/>
            </w:pPr>
          </w:p>
          <w:p w:rsidR="00685411" w:rsidRDefault="00685411">
            <w:pPr>
              <w:ind w:left="162" w:hanging="162"/>
              <w:jc w:val="center"/>
            </w:pPr>
          </w:p>
          <w:p w:rsidR="00685411" w:rsidRDefault="001405FF">
            <w:pPr>
              <w:ind w:left="162" w:hanging="162"/>
              <w:jc w:val="center"/>
            </w:pPr>
            <w:r>
              <w:t>TEB</w:t>
            </w:r>
          </w:p>
          <w:p w:rsidR="00685411" w:rsidRDefault="001405FF">
            <w:pPr>
              <w:ind w:left="162" w:hanging="162"/>
              <w:jc w:val="center"/>
            </w:pPr>
            <w:r>
              <w:t>Finansal</w:t>
            </w:r>
          </w:p>
        </w:tc>
        <w:tc>
          <w:tcPr>
            <w:tcW w:w="1260" w:type="dxa"/>
            <w:tcBorders>
              <w:bottom w:val="single" w:sz="4" w:space="0" w:color="auto"/>
            </w:tcBorders>
          </w:tcPr>
          <w:p w:rsidR="00685411" w:rsidRDefault="00685411">
            <w:pPr>
              <w:jc w:val="center"/>
            </w:pPr>
          </w:p>
          <w:p w:rsidR="00685411" w:rsidRDefault="00685411">
            <w:pPr>
              <w:jc w:val="center"/>
            </w:pPr>
          </w:p>
          <w:p w:rsidR="00685411" w:rsidRDefault="00685411">
            <w:pPr>
              <w:jc w:val="center"/>
            </w:pPr>
          </w:p>
          <w:p w:rsidR="00685411" w:rsidRDefault="001405FF">
            <w:pPr>
              <w:jc w:val="center"/>
            </w:pPr>
            <w:r>
              <w:t xml:space="preserve">TEB </w:t>
            </w:r>
          </w:p>
          <w:p w:rsidR="00685411" w:rsidRDefault="001405FF">
            <w:pPr>
              <w:jc w:val="center"/>
            </w:pPr>
            <w:r>
              <w:t>Factoring</w:t>
            </w:r>
          </w:p>
        </w:tc>
        <w:tc>
          <w:tcPr>
            <w:tcW w:w="1080" w:type="dxa"/>
            <w:tcBorders>
              <w:bottom w:val="single" w:sz="4" w:space="0" w:color="auto"/>
            </w:tcBorders>
          </w:tcPr>
          <w:p w:rsidR="00685411" w:rsidRDefault="00685411">
            <w:pPr>
              <w:jc w:val="center"/>
              <w:rPr>
                <w:rFonts w:cs="Arial"/>
              </w:rPr>
            </w:pPr>
          </w:p>
          <w:p w:rsidR="00685411" w:rsidRDefault="00685411">
            <w:pPr>
              <w:jc w:val="center"/>
              <w:rPr>
                <w:rFonts w:cs="Arial"/>
                <w:lang w:val="de-DE"/>
              </w:rPr>
            </w:pPr>
          </w:p>
          <w:p w:rsidR="00685411" w:rsidRDefault="00685411">
            <w:pPr>
              <w:jc w:val="center"/>
              <w:rPr>
                <w:rFonts w:cs="Arial"/>
                <w:lang w:val="de-DE"/>
              </w:rPr>
            </w:pPr>
          </w:p>
          <w:p w:rsidR="00685411" w:rsidRDefault="001405FF">
            <w:pPr>
              <w:jc w:val="center"/>
              <w:rPr>
                <w:rFonts w:cs="Arial"/>
                <w:lang w:val="de-DE"/>
              </w:rPr>
            </w:pPr>
            <w:r>
              <w:rPr>
                <w:rFonts w:cs="Arial"/>
                <w:lang w:val="de-DE"/>
              </w:rPr>
              <w:t>TEB</w:t>
            </w:r>
          </w:p>
          <w:p w:rsidR="00685411" w:rsidRDefault="001405FF">
            <w:pPr>
              <w:jc w:val="center"/>
              <w:rPr>
                <w:rFonts w:cs="Arial"/>
                <w:lang w:val="de-DE"/>
              </w:rPr>
            </w:pPr>
            <w:r>
              <w:rPr>
                <w:rFonts w:cs="Arial"/>
                <w:lang w:val="de-DE"/>
              </w:rPr>
              <w:t>Portföy</w:t>
            </w:r>
          </w:p>
        </w:tc>
        <w:tc>
          <w:tcPr>
            <w:tcW w:w="1080" w:type="dxa"/>
            <w:tcBorders>
              <w:bottom w:val="single" w:sz="4" w:space="0" w:color="auto"/>
            </w:tcBorders>
          </w:tcPr>
          <w:p w:rsidR="00685411" w:rsidRDefault="00685411">
            <w:pPr>
              <w:jc w:val="center"/>
              <w:rPr>
                <w:lang w:val="de-DE"/>
              </w:rPr>
            </w:pPr>
          </w:p>
          <w:p w:rsidR="00685411" w:rsidRDefault="00685411">
            <w:pPr>
              <w:jc w:val="center"/>
              <w:rPr>
                <w:lang w:val="de-DE"/>
              </w:rPr>
            </w:pPr>
          </w:p>
          <w:p w:rsidR="00685411" w:rsidRDefault="00685411">
            <w:pPr>
              <w:jc w:val="center"/>
              <w:rPr>
                <w:lang w:val="de-DE"/>
              </w:rPr>
            </w:pPr>
          </w:p>
          <w:p w:rsidR="00685411" w:rsidRDefault="001405FF">
            <w:pPr>
              <w:jc w:val="center"/>
              <w:rPr>
                <w:lang w:val="de-DE"/>
              </w:rPr>
            </w:pPr>
            <w:r>
              <w:rPr>
                <w:lang w:val="de-DE"/>
              </w:rPr>
              <w:t xml:space="preserve">TEB </w:t>
            </w:r>
          </w:p>
          <w:p w:rsidR="00685411" w:rsidRDefault="001405FF">
            <w:pPr>
              <w:jc w:val="center"/>
              <w:rPr>
                <w:lang w:val="de-DE"/>
              </w:rPr>
            </w:pPr>
            <w:r>
              <w:rPr>
                <w:lang w:val="de-DE"/>
              </w:rPr>
              <w:t>Sigorta</w:t>
            </w:r>
          </w:p>
        </w:tc>
      </w:tr>
      <w:tr w:rsidR="00685411">
        <w:trPr>
          <w:cantSplit/>
        </w:trPr>
        <w:tc>
          <w:tcPr>
            <w:tcW w:w="720" w:type="dxa"/>
          </w:tcPr>
          <w:p w:rsidR="00685411" w:rsidRDefault="00685411">
            <w:pPr>
              <w:ind w:left="252" w:hanging="252"/>
              <w:rPr>
                <w:sz w:val="20"/>
                <w:lang w:val="de-DE"/>
              </w:rPr>
            </w:pPr>
          </w:p>
        </w:tc>
        <w:tc>
          <w:tcPr>
            <w:tcW w:w="5040" w:type="dxa"/>
          </w:tcPr>
          <w:p w:rsidR="00685411" w:rsidRDefault="00685411">
            <w:pPr>
              <w:ind w:left="252" w:hanging="252"/>
              <w:rPr>
                <w:sz w:val="20"/>
                <w:lang w:val="de-DE"/>
              </w:rPr>
            </w:pPr>
          </w:p>
        </w:tc>
        <w:tc>
          <w:tcPr>
            <w:tcW w:w="1440" w:type="dxa"/>
          </w:tcPr>
          <w:p w:rsidR="00685411" w:rsidRDefault="00685411">
            <w:pPr>
              <w:jc w:val="right"/>
              <w:rPr>
                <w:rFonts w:cs="Arial"/>
                <w:sz w:val="20"/>
                <w:lang w:val="de-DE"/>
              </w:rPr>
            </w:pPr>
          </w:p>
        </w:tc>
        <w:tc>
          <w:tcPr>
            <w:tcW w:w="1620" w:type="dxa"/>
          </w:tcPr>
          <w:p w:rsidR="00685411" w:rsidRDefault="00685411">
            <w:pPr>
              <w:jc w:val="right"/>
              <w:rPr>
                <w:rFonts w:cs="Arial"/>
                <w:sz w:val="20"/>
                <w:lang w:val="de-DE"/>
              </w:rPr>
            </w:pPr>
          </w:p>
        </w:tc>
        <w:tc>
          <w:tcPr>
            <w:tcW w:w="1260" w:type="dxa"/>
          </w:tcPr>
          <w:p w:rsidR="00685411" w:rsidRDefault="00685411">
            <w:pPr>
              <w:jc w:val="right"/>
              <w:rPr>
                <w:lang w:val="de-DE"/>
              </w:rPr>
            </w:pPr>
          </w:p>
        </w:tc>
        <w:tc>
          <w:tcPr>
            <w:tcW w:w="1080" w:type="dxa"/>
          </w:tcPr>
          <w:p w:rsidR="00685411" w:rsidRDefault="00685411">
            <w:pPr>
              <w:jc w:val="right"/>
              <w:rPr>
                <w:lang w:val="de-DE"/>
              </w:rPr>
            </w:pPr>
          </w:p>
        </w:tc>
        <w:tc>
          <w:tcPr>
            <w:tcW w:w="1260" w:type="dxa"/>
          </w:tcPr>
          <w:p w:rsidR="00685411" w:rsidRDefault="00685411">
            <w:pPr>
              <w:jc w:val="right"/>
              <w:rPr>
                <w:lang w:val="de-DE"/>
              </w:rPr>
            </w:pPr>
          </w:p>
        </w:tc>
        <w:tc>
          <w:tcPr>
            <w:tcW w:w="1080" w:type="dxa"/>
          </w:tcPr>
          <w:p w:rsidR="00685411" w:rsidRDefault="00685411">
            <w:pPr>
              <w:jc w:val="right"/>
              <w:rPr>
                <w:rFonts w:cs="Arial"/>
                <w:lang w:val="de-DE"/>
              </w:rPr>
            </w:pPr>
          </w:p>
        </w:tc>
        <w:tc>
          <w:tcPr>
            <w:tcW w:w="1080" w:type="dxa"/>
          </w:tcPr>
          <w:p w:rsidR="00685411" w:rsidRDefault="00685411">
            <w:pPr>
              <w:jc w:val="right"/>
              <w:rPr>
                <w:lang w:val="de-DE"/>
              </w:rPr>
            </w:pPr>
          </w:p>
        </w:tc>
      </w:tr>
      <w:tr w:rsidR="00685411">
        <w:trPr>
          <w:cantSplit/>
        </w:trPr>
        <w:tc>
          <w:tcPr>
            <w:tcW w:w="720" w:type="dxa"/>
          </w:tcPr>
          <w:p w:rsidR="00685411" w:rsidRDefault="00685411">
            <w:pPr>
              <w:ind w:left="252" w:hanging="252"/>
              <w:rPr>
                <w:lang w:val="de-DE"/>
              </w:rPr>
            </w:pPr>
          </w:p>
        </w:tc>
        <w:tc>
          <w:tcPr>
            <w:tcW w:w="5040" w:type="dxa"/>
          </w:tcPr>
          <w:p w:rsidR="00685411" w:rsidRDefault="001405FF">
            <w:pPr>
              <w:ind w:left="252" w:hanging="252"/>
              <w:rPr>
                <w:lang w:val="de-DE"/>
              </w:rPr>
            </w:pPr>
            <w:r>
              <w:rPr>
                <w:lang w:val="de-DE"/>
              </w:rPr>
              <w:t>Türk Ekonomi Bankası A.Ş.</w:t>
            </w:r>
          </w:p>
        </w:tc>
        <w:tc>
          <w:tcPr>
            <w:tcW w:w="1440" w:type="dxa"/>
          </w:tcPr>
          <w:p w:rsidR="00685411" w:rsidRDefault="001405FF">
            <w:pPr>
              <w:jc w:val="right"/>
              <w:rPr>
                <w:rFonts w:cs="Arial"/>
              </w:rPr>
            </w:pPr>
            <w:r>
              <w:rPr>
                <w:rFonts w:cs="Arial"/>
              </w:rPr>
              <w:t>40,622</w:t>
            </w:r>
          </w:p>
        </w:tc>
        <w:tc>
          <w:tcPr>
            <w:tcW w:w="1620" w:type="dxa"/>
          </w:tcPr>
          <w:p w:rsidR="00685411" w:rsidRDefault="001405FF">
            <w:pPr>
              <w:jc w:val="right"/>
              <w:rPr>
                <w:rFonts w:cs="Arial"/>
              </w:rPr>
            </w:pPr>
            <w:r>
              <w:rPr>
                <w:rFonts w:cs="Arial"/>
              </w:rPr>
              <w:t>731</w:t>
            </w:r>
          </w:p>
        </w:tc>
        <w:tc>
          <w:tcPr>
            <w:tcW w:w="1260" w:type="dxa"/>
          </w:tcPr>
          <w:p w:rsidR="00685411" w:rsidRDefault="001405FF">
            <w:pPr>
              <w:jc w:val="right"/>
            </w:pPr>
            <w:r>
              <w:t>7,479</w:t>
            </w:r>
          </w:p>
        </w:tc>
        <w:tc>
          <w:tcPr>
            <w:tcW w:w="1080" w:type="dxa"/>
          </w:tcPr>
          <w:p w:rsidR="00685411" w:rsidRDefault="001405FF">
            <w:pPr>
              <w:jc w:val="right"/>
            </w:pPr>
            <w:r>
              <w:t>6,876</w:t>
            </w:r>
          </w:p>
        </w:tc>
        <w:tc>
          <w:tcPr>
            <w:tcW w:w="1260" w:type="dxa"/>
          </w:tcPr>
          <w:p w:rsidR="00685411" w:rsidRDefault="001405FF">
            <w:pPr>
              <w:jc w:val="right"/>
            </w:pPr>
            <w:r>
              <w:t>4,080</w:t>
            </w:r>
          </w:p>
        </w:tc>
        <w:tc>
          <w:tcPr>
            <w:tcW w:w="1080" w:type="dxa"/>
          </w:tcPr>
          <w:p w:rsidR="00685411" w:rsidRDefault="001405FF">
            <w:pPr>
              <w:jc w:val="right"/>
              <w:rPr>
                <w:rFonts w:cs="Arial"/>
              </w:rPr>
            </w:pPr>
            <w:r>
              <w:rPr>
                <w:rFonts w:cs="Arial"/>
              </w:rPr>
              <w:t>559</w:t>
            </w:r>
          </w:p>
        </w:tc>
        <w:tc>
          <w:tcPr>
            <w:tcW w:w="1080" w:type="dxa"/>
          </w:tcPr>
          <w:p w:rsidR="00685411" w:rsidRDefault="001405FF">
            <w:pPr>
              <w:jc w:val="right"/>
            </w:pPr>
            <w:r>
              <w:t>1,663</w:t>
            </w:r>
          </w:p>
        </w:tc>
      </w:tr>
      <w:tr w:rsidR="00685411">
        <w:trPr>
          <w:cantSplit/>
          <w:trHeight w:val="153"/>
        </w:trPr>
        <w:tc>
          <w:tcPr>
            <w:tcW w:w="720" w:type="dxa"/>
          </w:tcPr>
          <w:p w:rsidR="00685411" w:rsidRDefault="00685411">
            <w:pPr>
              <w:ind w:left="252" w:hanging="252"/>
            </w:pPr>
          </w:p>
        </w:tc>
        <w:tc>
          <w:tcPr>
            <w:tcW w:w="5040" w:type="dxa"/>
          </w:tcPr>
          <w:p w:rsidR="00685411" w:rsidRDefault="001405FF">
            <w:pPr>
              <w:ind w:left="252" w:hanging="252"/>
            </w:pPr>
            <w:r>
              <w:t xml:space="preserve">TEB Menkul </w:t>
            </w:r>
          </w:p>
        </w:tc>
        <w:tc>
          <w:tcPr>
            <w:tcW w:w="1440" w:type="dxa"/>
          </w:tcPr>
          <w:p w:rsidR="00685411" w:rsidRDefault="001405FF">
            <w:pPr>
              <w:jc w:val="right"/>
              <w:rPr>
                <w:rFonts w:cs="Arial"/>
              </w:rPr>
            </w:pPr>
            <w:r>
              <w:rPr>
                <w:rFonts w:cs="Arial"/>
              </w:rPr>
              <w:t>-</w:t>
            </w:r>
          </w:p>
        </w:tc>
        <w:tc>
          <w:tcPr>
            <w:tcW w:w="1620" w:type="dxa"/>
          </w:tcPr>
          <w:p w:rsidR="00685411" w:rsidRDefault="001405FF">
            <w:pPr>
              <w:jc w:val="right"/>
              <w:rPr>
                <w:rFonts w:cs="Arial"/>
              </w:rPr>
            </w:pPr>
            <w:r>
              <w:rPr>
                <w:rFonts w:cs="Arial"/>
              </w:rPr>
              <w:t>-</w:t>
            </w:r>
          </w:p>
        </w:tc>
        <w:tc>
          <w:tcPr>
            <w:tcW w:w="1260" w:type="dxa"/>
          </w:tcPr>
          <w:p w:rsidR="00685411" w:rsidRDefault="001405FF">
            <w:pPr>
              <w:jc w:val="right"/>
            </w:pPr>
            <w:r>
              <w:t>-</w:t>
            </w:r>
          </w:p>
        </w:tc>
        <w:tc>
          <w:tcPr>
            <w:tcW w:w="1080" w:type="dxa"/>
          </w:tcPr>
          <w:p w:rsidR="00685411" w:rsidRDefault="001405FF">
            <w:pPr>
              <w:jc w:val="right"/>
            </w:pPr>
            <w:r>
              <w:t>-</w:t>
            </w:r>
          </w:p>
        </w:tc>
        <w:tc>
          <w:tcPr>
            <w:tcW w:w="1260" w:type="dxa"/>
          </w:tcPr>
          <w:p w:rsidR="00685411" w:rsidRDefault="001405FF">
            <w:pPr>
              <w:jc w:val="right"/>
            </w:pPr>
            <w:r>
              <w:t>223</w:t>
            </w:r>
          </w:p>
        </w:tc>
        <w:tc>
          <w:tcPr>
            <w:tcW w:w="1080" w:type="dxa"/>
          </w:tcPr>
          <w:p w:rsidR="00685411" w:rsidRDefault="001405FF">
            <w:pPr>
              <w:jc w:val="right"/>
              <w:rPr>
                <w:rFonts w:cs="Arial"/>
              </w:rPr>
            </w:pPr>
            <w:r>
              <w:rPr>
                <w:rFonts w:cs="Arial"/>
              </w:rPr>
              <w:t>438</w:t>
            </w:r>
          </w:p>
        </w:tc>
        <w:tc>
          <w:tcPr>
            <w:tcW w:w="1080" w:type="dxa"/>
          </w:tcPr>
          <w:p w:rsidR="00685411" w:rsidRDefault="001405FF">
            <w:pPr>
              <w:jc w:val="right"/>
            </w:pPr>
            <w:r>
              <w:t>-</w:t>
            </w:r>
          </w:p>
        </w:tc>
      </w:tr>
      <w:tr w:rsidR="00685411">
        <w:trPr>
          <w:cantSplit/>
        </w:trPr>
        <w:tc>
          <w:tcPr>
            <w:tcW w:w="720" w:type="dxa"/>
          </w:tcPr>
          <w:p w:rsidR="00685411" w:rsidRDefault="00685411">
            <w:pPr>
              <w:ind w:left="252" w:hanging="252"/>
            </w:pPr>
          </w:p>
        </w:tc>
        <w:tc>
          <w:tcPr>
            <w:tcW w:w="5040" w:type="dxa"/>
          </w:tcPr>
          <w:p w:rsidR="00685411" w:rsidRDefault="001405FF">
            <w:pPr>
              <w:ind w:left="252" w:hanging="252"/>
            </w:pPr>
            <w:r>
              <w:t>TEB Finansal</w:t>
            </w:r>
          </w:p>
        </w:tc>
        <w:tc>
          <w:tcPr>
            <w:tcW w:w="1440" w:type="dxa"/>
          </w:tcPr>
          <w:p w:rsidR="00685411" w:rsidRDefault="001405FF">
            <w:pPr>
              <w:jc w:val="right"/>
              <w:rPr>
                <w:rFonts w:cs="Arial"/>
              </w:rPr>
            </w:pPr>
            <w:r>
              <w:rPr>
                <w:rFonts w:cs="Arial"/>
              </w:rPr>
              <w:t>-</w:t>
            </w:r>
          </w:p>
        </w:tc>
        <w:tc>
          <w:tcPr>
            <w:tcW w:w="1620" w:type="dxa"/>
          </w:tcPr>
          <w:p w:rsidR="00685411" w:rsidRDefault="001405FF">
            <w:pPr>
              <w:ind w:left="-1492"/>
              <w:jc w:val="right"/>
              <w:rPr>
                <w:rFonts w:cs="Arial"/>
              </w:rPr>
            </w:pPr>
            <w:r>
              <w:rPr>
                <w:rFonts w:cs="Arial"/>
              </w:rPr>
              <w:t>-</w:t>
            </w:r>
          </w:p>
        </w:tc>
        <w:tc>
          <w:tcPr>
            <w:tcW w:w="1260" w:type="dxa"/>
          </w:tcPr>
          <w:p w:rsidR="00685411" w:rsidRDefault="001405FF">
            <w:pPr>
              <w:jc w:val="right"/>
            </w:pPr>
            <w:r>
              <w:t>1,754</w:t>
            </w:r>
          </w:p>
        </w:tc>
        <w:tc>
          <w:tcPr>
            <w:tcW w:w="1080" w:type="dxa"/>
          </w:tcPr>
          <w:p w:rsidR="00685411" w:rsidRDefault="001405FF">
            <w:pPr>
              <w:jc w:val="right"/>
            </w:pPr>
            <w:r>
              <w:t>-</w:t>
            </w:r>
          </w:p>
        </w:tc>
        <w:tc>
          <w:tcPr>
            <w:tcW w:w="1260" w:type="dxa"/>
          </w:tcPr>
          <w:p w:rsidR="00685411" w:rsidRDefault="001405FF">
            <w:pPr>
              <w:jc w:val="right"/>
            </w:pPr>
            <w:r>
              <w:t>124</w:t>
            </w:r>
          </w:p>
        </w:tc>
        <w:tc>
          <w:tcPr>
            <w:tcW w:w="1080" w:type="dxa"/>
          </w:tcPr>
          <w:p w:rsidR="00685411" w:rsidRDefault="001405FF">
            <w:pPr>
              <w:jc w:val="right"/>
              <w:rPr>
                <w:rFonts w:cs="Arial"/>
              </w:rPr>
            </w:pPr>
            <w:r>
              <w:rPr>
                <w:rFonts w:cs="Arial"/>
              </w:rPr>
              <w:t>-</w:t>
            </w:r>
          </w:p>
        </w:tc>
        <w:tc>
          <w:tcPr>
            <w:tcW w:w="1080" w:type="dxa"/>
          </w:tcPr>
          <w:p w:rsidR="00685411" w:rsidRDefault="001405FF">
            <w:pPr>
              <w:jc w:val="right"/>
            </w:pPr>
            <w:r>
              <w:t>-</w:t>
            </w:r>
          </w:p>
        </w:tc>
      </w:tr>
      <w:tr w:rsidR="00685411">
        <w:trPr>
          <w:cantSplit/>
        </w:trPr>
        <w:tc>
          <w:tcPr>
            <w:tcW w:w="720" w:type="dxa"/>
          </w:tcPr>
          <w:p w:rsidR="00685411" w:rsidRDefault="00685411">
            <w:pPr>
              <w:ind w:left="252" w:hanging="252"/>
            </w:pPr>
          </w:p>
        </w:tc>
        <w:tc>
          <w:tcPr>
            <w:tcW w:w="5040" w:type="dxa"/>
          </w:tcPr>
          <w:p w:rsidR="00685411" w:rsidRDefault="001405FF">
            <w:pPr>
              <w:ind w:left="252" w:hanging="252"/>
            </w:pPr>
            <w:r>
              <w:t>TEB Factoring</w:t>
            </w:r>
          </w:p>
        </w:tc>
        <w:tc>
          <w:tcPr>
            <w:tcW w:w="1440" w:type="dxa"/>
          </w:tcPr>
          <w:p w:rsidR="00685411" w:rsidRDefault="001405FF">
            <w:pPr>
              <w:jc w:val="right"/>
              <w:rPr>
                <w:rFonts w:cs="Arial"/>
                <w:lang w:val="de-DE"/>
              </w:rPr>
            </w:pPr>
            <w:r>
              <w:rPr>
                <w:rFonts w:cs="Arial"/>
                <w:lang w:val="de-DE"/>
              </w:rPr>
              <w:t>-</w:t>
            </w:r>
          </w:p>
        </w:tc>
        <w:tc>
          <w:tcPr>
            <w:tcW w:w="1620" w:type="dxa"/>
          </w:tcPr>
          <w:p w:rsidR="00685411" w:rsidRDefault="001405FF">
            <w:pPr>
              <w:jc w:val="right"/>
              <w:rPr>
                <w:rFonts w:cs="Arial"/>
                <w:lang w:val="de-DE"/>
              </w:rPr>
            </w:pPr>
            <w:r>
              <w:rPr>
                <w:rFonts w:cs="Arial"/>
                <w:lang w:val="de-DE"/>
              </w:rPr>
              <w:t>-</w:t>
            </w:r>
          </w:p>
        </w:tc>
        <w:tc>
          <w:tcPr>
            <w:tcW w:w="1260" w:type="dxa"/>
          </w:tcPr>
          <w:p w:rsidR="00685411" w:rsidRDefault="001405FF">
            <w:pPr>
              <w:jc w:val="right"/>
              <w:rPr>
                <w:lang w:val="de-DE"/>
              </w:rPr>
            </w:pPr>
            <w:r>
              <w:rPr>
                <w:lang w:val="de-DE"/>
              </w:rPr>
              <w:t>752</w:t>
            </w:r>
          </w:p>
        </w:tc>
        <w:tc>
          <w:tcPr>
            <w:tcW w:w="1080" w:type="dxa"/>
          </w:tcPr>
          <w:p w:rsidR="00685411" w:rsidRDefault="001405FF">
            <w:pPr>
              <w:jc w:val="right"/>
              <w:rPr>
                <w:lang w:val="de-DE"/>
              </w:rPr>
            </w:pPr>
            <w:r>
              <w:rPr>
                <w:lang w:val="de-DE"/>
              </w:rPr>
              <w:t>355</w:t>
            </w:r>
          </w:p>
        </w:tc>
        <w:tc>
          <w:tcPr>
            <w:tcW w:w="1260" w:type="dxa"/>
          </w:tcPr>
          <w:p w:rsidR="00685411" w:rsidRDefault="001405FF">
            <w:pPr>
              <w:jc w:val="right"/>
              <w:rPr>
                <w:lang w:val="de-DE"/>
              </w:rPr>
            </w:pPr>
            <w:r>
              <w:rPr>
                <w:lang w:val="de-DE"/>
              </w:rPr>
              <w:t>-</w:t>
            </w:r>
          </w:p>
        </w:tc>
        <w:tc>
          <w:tcPr>
            <w:tcW w:w="1080" w:type="dxa"/>
          </w:tcPr>
          <w:p w:rsidR="00685411" w:rsidRDefault="001405FF">
            <w:pPr>
              <w:jc w:val="right"/>
              <w:rPr>
                <w:rFonts w:cs="Arial"/>
                <w:lang w:val="de-DE"/>
              </w:rPr>
            </w:pPr>
            <w:r>
              <w:rPr>
                <w:rFonts w:cs="Arial"/>
                <w:lang w:val="de-DE"/>
              </w:rPr>
              <w:t>-</w:t>
            </w:r>
          </w:p>
        </w:tc>
        <w:tc>
          <w:tcPr>
            <w:tcW w:w="1080" w:type="dxa"/>
          </w:tcPr>
          <w:p w:rsidR="00685411" w:rsidRDefault="001405FF">
            <w:pPr>
              <w:jc w:val="right"/>
              <w:rPr>
                <w:lang w:val="de-DE"/>
              </w:rPr>
            </w:pPr>
            <w:r>
              <w:rPr>
                <w:lang w:val="de-DE"/>
              </w:rPr>
              <w:t>-</w:t>
            </w:r>
          </w:p>
        </w:tc>
      </w:tr>
      <w:tr w:rsidR="00685411">
        <w:trPr>
          <w:cantSplit/>
        </w:trPr>
        <w:tc>
          <w:tcPr>
            <w:tcW w:w="720" w:type="dxa"/>
          </w:tcPr>
          <w:p w:rsidR="00685411" w:rsidRDefault="00685411">
            <w:pPr>
              <w:ind w:left="252" w:hanging="252"/>
              <w:rPr>
                <w:lang w:val="de-DE"/>
              </w:rPr>
            </w:pPr>
          </w:p>
        </w:tc>
        <w:tc>
          <w:tcPr>
            <w:tcW w:w="5040" w:type="dxa"/>
          </w:tcPr>
          <w:p w:rsidR="00685411" w:rsidRDefault="001405FF">
            <w:pPr>
              <w:ind w:left="252" w:hanging="252"/>
              <w:rPr>
                <w:lang w:val="de-DE"/>
              </w:rPr>
            </w:pPr>
            <w:r>
              <w:rPr>
                <w:lang w:val="de-DE"/>
              </w:rPr>
              <w:t>TEB Sigorta</w:t>
            </w:r>
          </w:p>
        </w:tc>
        <w:tc>
          <w:tcPr>
            <w:tcW w:w="1440" w:type="dxa"/>
          </w:tcPr>
          <w:p w:rsidR="00685411" w:rsidRDefault="001405FF">
            <w:pPr>
              <w:jc w:val="right"/>
              <w:rPr>
                <w:rFonts w:cs="Arial"/>
                <w:lang w:val="de-DE"/>
              </w:rPr>
            </w:pPr>
            <w:r>
              <w:rPr>
                <w:rFonts w:cs="Arial"/>
                <w:lang w:val="de-DE"/>
              </w:rPr>
              <w:t>-</w:t>
            </w:r>
          </w:p>
        </w:tc>
        <w:tc>
          <w:tcPr>
            <w:tcW w:w="1620" w:type="dxa"/>
          </w:tcPr>
          <w:p w:rsidR="00685411" w:rsidRDefault="001405FF">
            <w:pPr>
              <w:jc w:val="right"/>
              <w:rPr>
                <w:rFonts w:cs="Arial"/>
                <w:lang w:val="de-DE"/>
              </w:rPr>
            </w:pPr>
            <w:r>
              <w:rPr>
                <w:rFonts w:cs="Arial"/>
                <w:lang w:val="de-DE"/>
              </w:rPr>
              <w:t>-</w:t>
            </w:r>
          </w:p>
        </w:tc>
        <w:tc>
          <w:tcPr>
            <w:tcW w:w="1260" w:type="dxa"/>
          </w:tcPr>
          <w:p w:rsidR="00685411" w:rsidRDefault="001405FF">
            <w:pPr>
              <w:jc w:val="right"/>
              <w:rPr>
                <w:lang w:val="de-DE"/>
              </w:rPr>
            </w:pPr>
            <w:r>
              <w:rPr>
                <w:lang w:val="de-DE"/>
              </w:rPr>
              <w:t>-</w:t>
            </w:r>
          </w:p>
        </w:tc>
        <w:tc>
          <w:tcPr>
            <w:tcW w:w="1080" w:type="dxa"/>
          </w:tcPr>
          <w:p w:rsidR="00685411" w:rsidRDefault="001405FF">
            <w:pPr>
              <w:jc w:val="right"/>
              <w:rPr>
                <w:lang w:val="de-DE"/>
              </w:rPr>
            </w:pPr>
            <w:r>
              <w:rPr>
                <w:lang w:val="de-DE"/>
              </w:rPr>
              <w:t>287</w:t>
            </w:r>
          </w:p>
        </w:tc>
        <w:tc>
          <w:tcPr>
            <w:tcW w:w="1260" w:type="dxa"/>
          </w:tcPr>
          <w:p w:rsidR="00685411" w:rsidRDefault="001405FF">
            <w:pPr>
              <w:jc w:val="right"/>
              <w:rPr>
                <w:lang w:val="de-DE"/>
              </w:rPr>
            </w:pPr>
            <w:r>
              <w:rPr>
                <w:lang w:val="de-DE"/>
              </w:rPr>
              <w:t>112</w:t>
            </w:r>
          </w:p>
        </w:tc>
        <w:tc>
          <w:tcPr>
            <w:tcW w:w="1080" w:type="dxa"/>
          </w:tcPr>
          <w:p w:rsidR="00685411" w:rsidRDefault="001405FF">
            <w:pPr>
              <w:jc w:val="right"/>
              <w:rPr>
                <w:rFonts w:cs="Arial"/>
                <w:lang w:val="de-DE"/>
              </w:rPr>
            </w:pPr>
            <w:r>
              <w:rPr>
                <w:rFonts w:cs="Arial"/>
                <w:lang w:val="de-DE"/>
              </w:rPr>
              <w:t>-</w:t>
            </w:r>
          </w:p>
        </w:tc>
        <w:tc>
          <w:tcPr>
            <w:tcW w:w="1080" w:type="dxa"/>
          </w:tcPr>
          <w:p w:rsidR="00685411" w:rsidRDefault="001405FF">
            <w:pPr>
              <w:jc w:val="right"/>
              <w:rPr>
                <w:lang w:val="de-DE"/>
              </w:rPr>
            </w:pPr>
            <w:r>
              <w:rPr>
                <w:lang w:val="de-DE"/>
              </w:rPr>
              <w:t>-</w:t>
            </w:r>
          </w:p>
        </w:tc>
      </w:tr>
      <w:tr w:rsidR="00685411">
        <w:trPr>
          <w:cantSplit/>
        </w:trPr>
        <w:tc>
          <w:tcPr>
            <w:tcW w:w="720" w:type="dxa"/>
          </w:tcPr>
          <w:p w:rsidR="00685411" w:rsidRDefault="00685411">
            <w:pPr>
              <w:ind w:left="252" w:hanging="252"/>
              <w:rPr>
                <w:lang w:val="de-DE"/>
              </w:rPr>
            </w:pPr>
          </w:p>
        </w:tc>
        <w:tc>
          <w:tcPr>
            <w:tcW w:w="5040" w:type="dxa"/>
          </w:tcPr>
          <w:p w:rsidR="00685411" w:rsidRDefault="001405FF">
            <w:pPr>
              <w:ind w:left="252" w:hanging="252"/>
              <w:rPr>
                <w:lang w:val="de-DE"/>
              </w:rPr>
            </w:pPr>
            <w:r>
              <w:rPr>
                <w:lang w:val="de-DE"/>
              </w:rPr>
              <w:t>TEB Portföy</w:t>
            </w:r>
          </w:p>
        </w:tc>
        <w:tc>
          <w:tcPr>
            <w:tcW w:w="1440" w:type="dxa"/>
          </w:tcPr>
          <w:p w:rsidR="00685411" w:rsidRDefault="001405FF">
            <w:pPr>
              <w:jc w:val="right"/>
              <w:rPr>
                <w:rFonts w:cs="Arial"/>
              </w:rPr>
            </w:pPr>
            <w:r>
              <w:rPr>
                <w:rFonts w:cs="Arial"/>
              </w:rPr>
              <w:t>-</w:t>
            </w:r>
          </w:p>
        </w:tc>
        <w:tc>
          <w:tcPr>
            <w:tcW w:w="1620" w:type="dxa"/>
          </w:tcPr>
          <w:p w:rsidR="00685411" w:rsidRDefault="001405FF">
            <w:pPr>
              <w:jc w:val="right"/>
              <w:rPr>
                <w:rFonts w:cs="Arial"/>
              </w:rPr>
            </w:pPr>
            <w:r>
              <w:rPr>
                <w:rFonts w:cs="Arial"/>
              </w:rPr>
              <w:t>-</w:t>
            </w:r>
          </w:p>
        </w:tc>
        <w:tc>
          <w:tcPr>
            <w:tcW w:w="1260" w:type="dxa"/>
          </w:tcPr>
          <w:p w:rsidR="00685411" w:rsidRDefault="001405FF">
            <w:pPr>
              <w:jc w:val="right"/>
              <w:rPr>
                <w:lang w:val="de-DE"/>
              </w:rPr>
            </w:pPr>
            <w:r>
              <w:rPr>
                <w:lang w:val="de-DE"/>
              </w:rPr>
              <w:t>-</w:t>
            </w:r>
          </w:p>
        </w:tc>
        <w:tc>
          <w:tcPr>
            <w:tcW w:w="1080" w:type="dxa"/>
          </w:tcPr>
          <w:p w:rsidR="00685411" w:rsidRDefault="001405FF">
            <w:pPr>
              <w:jc w:val="right"/>
              <w:rPr>
                <w:lang w:val="de-DE"/>
              </w:rPr>
            </w:pPr>
            <w:r>
              <w:rPr>
                <w:lang w:val="de-DE"/>
              </w:rPr>
              <w:t>-</w:t>
            </w:r>
          </w:p>
        </w:tc>
        <w:tc>
          <w:tcPr>
            <w:tcW w:w="1260" w:type="dxa"/>
          </w:tcPr>
          <w:p w:rsidR="00685411" w:rsidRDefault="001405FF">
            <w:pPr>
              <w:jc w:val="right"/>
              <w:rPr>
                <w:lang w:val="de-DE"/>
              </w:rPr>
            </w:pPr>
            <w:r>
              <w:rPr>
                <w:lang w:val="de-DE"/>
              </w:rPr>
              <w:t>-</w:t>
            </w:r>
          </w:p>
        </w:tc>
        <w:tc>
          <w:tcPr>
            <w:tcW w:w="1080" w:type="dxa"/>
          </w:tcPr>
          <w:p w:rsidR="00685411" w:rsidRDefault="001405FF">
            <w:pPr>
              <w:jc w:val="right"/>
              <w:rPr>
                <w:rFonts w:cs="Arial"/>
                <w:lang w:val="de-DE"/>
              </w:rPr>
            </w:pPr>
            <w:r>
              <w:rPr>
                <w:rFonts w:cs="Arial"/>
                <w:lang w:val="de-DE"/>
              </w:rPr>
              <w:t>-</w:t>
            </w:r>
          </w:p>
        </w:tc>
        <w:tc>
          <w:tcPr>
            <w:tcW w:w="1080" w:type="dxa"/>
          </w:tcPr>
          <w:p w:rsidR="00685411" w:rsidRDefault="001405FF">
            <w:pPr>
              <w:jc w:val="right"/>
              <w:rPr>
                <w:lang w:val="de-DE"/>
              </w:rPr>
            </w:pPr>
            <w:r>
              <w:rPr>
                <w:lang w:val="de-DE"/>
              </w:rPr>
              <w:t>-</w:t>
            </w:r>
          </w:p>
        </w:tc>
      </w:tr>
      <w:tr w:rsidR="00685411">
        <w:trPr>
          <w:cantSplit/>
        </w:trPr>
        <w:tc>
          <w:tcPr>
            <w:tcW w:w="720" w:type="dxa"/>
          </w:tcPr>
          <w:p w:rsidR="00685411" w:rsidRDefault="00685411">
            <w:pPr>
              <w:ind w:left="252" w:hanging="252"/>
            </w:pPr>
          </w:p>
        </w:tc>
        <w:tc>
          <w:tcPr>
            <w:tcW w:w="5040" w:type="dxa"/>
          </w:tcPr>
          <w:p w:rsidR="00685411" w:rsidRDefault="001405FF">
            <w:pPr>
              <w:ind w:left="252" w:hanging="252"/>
            </w:pPr>
            <w:r>
              <w:t>Others</w:t>
            </w:r>
          </w:p>
        </w:tc>
        <w:tc>
          <w:tcPr>
            <w:tcW w:w="1440" w:type="dxa"/>
            <w:tcBorders>
              <w:bottom w:val="single" w:sz="4" w:space="0" w:color="auto"/>
            </w:tcBorders>
          </w:tcPr>
          <w:p w:rsidR="00685411" w:rsidRDefault="001405FF">
            <w:pPr>
              <w:jc w:val="right"/>
              <w:rPr>
                <w:rFonts w:cs="Arial"/>
              </w:rPr>
            </w:pPr>
            <w:r>
              <w:rPr>
                <w:rFonts w:cs="Arial"/>
              </w:rPr>
              <w:t>-</w:t>
            </w:r>
          </w:p>
        </w:tc>
        <w:tc>
          <w:tcPr>
            <w:tcW w:w="1620" w:type="dxa"/>
            <w:tcBorders>
              <w:bottom w:val="single" w:sz="4" w:space="0" w:color="auto"/>
            </w:tcBorders>
          </w:tcPr>
          <w:p w:rsidR="00685411" w:rsidRDefault="001405FF">
            <w:pPr>
              <w:jc w:val="right"/>
              <w:rPr>
                <w:rFonts w:cs="Arial"/>
              </w:rPr>
            </w:pPr>
            <w:r>
              <w:rPr>
                <w:rFonts w:cs="Arial"/>
              </w:rPr>
              <w:t>-</w:t>
            </w:r>
          </w:p>
        </w:tc>
        <w:tc>
          <w:tcPr>
            <w:tcW w:w="1260" w:type="dxa"/>
            <w:tcBorders>
              <w:bottom w:val="single" w:sz="4" w:space="0" w:color="auto"/>
            </w:tcBorders>
          </w:tcPr>
          <w:p w:rsidR="00685411" w:rsidRDefault="001405FF">
            <w:pPr>
              <w:jc w:val="right"/>
              <w:rPr>
                <w:lang w:val="de-DE"/>
              </w:rPr>
            </w:pPr>
            <w:r>
              <w:rPr>
                <w:lang w:val="de-DE"/>
              </w:rPr>
              <w:t>15</w:t>
            </w:r>
          </w:p>
        </w:tc>
        <w:tc>
          <w:tcPr>
            <w:tcW w:w="1080" w:type="dxa"/>
            <w:tcBorders>
              <w:bottom w:val="single" w:sz="4" w:space="0" w:color="auto"/>
            </w:tcBorders>
          </w:tcPr>
          <w:p w:rsidR="00685411" w:rsidRDefault="001405FF">
            <w:pPr>
              <w:jc w:val="right"/>
              <w:rPr>
                <w:lang w:val="de-DE"/>
              </w:rPr>
            </w:pPr>
            <w:r>
              <w:rPr>
                <w:lang w:val="de-DE"/>
              </w:rPr>
              <w:t>2,482</w:t>
            </w:r>
          </w:p>
        </w:tc>
        <w:tc>
          <w:tcPr>
            <w:tcW w:w="1260" w:type="dxa"/>
            <w:tcBorders>
              <w:bottom w:val="single" w:sz="4" w:space="0" w:color="auto"/>
            </w:tcBorders>
          </w:tcPr>
          <w:p w:rsidR="00685411" w:rsidRDefault="001405FF">
            <w:pPr>
              <w:jc w:val="right"/>
              <w:rPr>
                <w:lang w:val="de-DE"/>
              </w:rPr>
            </w:pPr>
            <w:r>
              <w:rPr>
                <w:lang w:val="de-DE"/>
              </w:rPr>
              <w:t>1,661</w:t>
            </w:r>
          </w:p>
        </w:tc>
        <w:tc>
          <w:tcPr>
            <w:tcW w:w="1080" w:type="dxa"/>
            <w:tcBorders>
              <w:bottom w:val="single" w:sz="4" w:space="0" w:color="auto"/>
            </w:tcBorders>
          </w:tcPr>
          <w:p w:rsidR="00685411" w:rsidRDefault="001405FF">
            <w:pPr>
              <w:jc w:val="right"/>
              <w:rPr>
                <w:rFonts w:cs="Arial"/>
                <w:lang w:val="de-DE"/>
              </w:rPr>
            </w:pPr>
            <w:r>
              <w:rPr>
                <w:rFonts w:cs="Arial"/>
                <w:lang w:val="de-DE"/>
              </w:rPr>
              <w:t>3</w:t>
            </w:r>
          </w:p>
        </w:tc>
        <w:tc>
          <w:tcPr>
            <w:tcW w:w="1080" w:type="dxa"/>
            <w:tcBorders>
              <w:bottom w:val="single" w:sz="4" w:space="0" w:color="auto"/>
            </w:tcBorders>
          </w:tcPr>
          <w:p w:rsidR="00685411" w:rsidRDefault="001405FF">
            <w:pPr>
              <w:jc w:val="right"/>
              <w:rPr>
                <w:lang w:val="de-DE"/>
              </w:rPr>
            </w:pPr>
            <w:r>
              <w:rPr>
                <w:lang w:val="de-DE"/>
              </w:rPr>
              <w:t>1,662</w:t>
            </w:r>
          </w:p>
        </w:tc>
      </w:tr>
      <w:tr w:rsidR="00685411">
        <w:trPr>
          <w:cantSplit/>
        </w:trPr>
        <w:tc>
          <w:tcPr>
            <w:tcW w:w="720" w:type="dxa"/>
          </w:tcPr>
          <w:p w:rsidR="00685411" w:rsidRDefault="00685411">
            <w:pPr>
              <w:ind w:left="252" w:hanging="252"/>
            </w:pPr>
          </w:p>
        </w:tc>
        <w:tc>
          <w:tcPr>
            <w:tcW w:w="5040" w:type="dxa"/>
          </w:tcPr>
          <w:p w:rsidR="00685411" w:rsidRDefault="001405FF">
            <w:pPr>
              <w:ind w:left="252" w:hanging="252"/>
            </w:pPr>
            <w:r>
              <w:t>Total</w:t>
            </w:r>
          </w:p>
        </w:tc>
        <w:tc>
          <w:tcPr>
            <w:tcW w:w="1440" w:type="dxa"/>
          </w:tcPr>
          <w:p w:rsidR="00685411" w:rsidRDefault="001405FF">
            <w:pPr>
              <w:jc w:val="right"/>
              <w:rPr>
                <w:rFonts w:cs="Arial"/>
              </w:rPr>
            </w:pPr>
            <w:r>
              <w:rPr>
                <w:rFonts w:cs="Arial"/>
              </w:rPr>
              <w:t>40,622</w:t>
            </w:r>
          </w:p>
        </w:tc>
        <w:tc>
          <w:tcPr>
            <w:tcW w:w="1620" w:type="dxa"/>
          </w:tcPr>
          <w:p w:rsidR="00685411" w:rsidRDefault="001405FF">
            <w:pPr>
              <w:jc w:val="right"/>
              <w:rPr>
                <w:rFonts w:cs="Arial"/>
              </w:rPr>
            </w:pPr>
            <w:r>
              <w:rPr>
                <w:rFonts w:cs="Arial"/>
              </w:rPr>
              <w:t>731</w:t>
            </w:r>
          </w:p>
        </w:tc>
        <w:tc>
          <w:tcPr>
            <w:tcW w:w="1260" w:type="dxa"/>
          </w:tcPr>
          <w:p w:rsidR="00685411" w:rsidRDefault="001405FF">
            <w:pPr>
              <w:jc w:val="right"/>
              <w:rPr>
                <w:lang w:val="de-DE"/>
              </w:rPr>
            </w:pPr>
            <w:r>
              <w:rPr>
                <w:lang w:val="de-DE"/>
              </w:rPr>
              <w:t>10,000</w:t>
            </w:r>
          </w:p>
        </w:tc>
        <w:tc>
          <w:tcPr>
            <w:tcW w:w="1080" w:type="dxa"/>
          </w:tcPr>
          <w:p w:rsidR="00685411" w:rsidRDefault="001405FF">
            <w:pPr>
              <w:jc w:val="right"/>
              <w:rPr>
                <w:lang w:val="de-DE"/>
              </w:rPr>
            </w:pPr>
            <w:r>
              <w:rPr>
                <w:lang w:val="de-DE"/>
              </w:rPr>
              <w:t>10,000</w:t>
            </w:r>
          </w:p>
        </w:tc>
        <w:tc>
          <w:tcPr>
            <w:tcW w:w="1260" w:type="dxa"/>
          </w:tcPr>
          <w:p w:rsidR="00685411" w:rsidRDefault="001405FF">
            <w:pPr>
              <w:jc w:val="right"/>
              <w:rPr>
                <w:lang w:val="de-DE"/>
              </w:rPr>
            </w:pPr>
            <w:r>
              <w:rPr>
                <w:lang w:val="de-DE"/>
              </w:rPr>
              <w:t>6,200</w:t>
            </w:r>
          </w:p>
        </w:tc>
        <w:tc>
          <w:tcPr>
            <w:tcW w:w="1080" w:type="dxa"/>
          </w:tcPr>
          <w:p w:rsidR="00685411" w:rsidRDefault="001405FF">
            <w:pPr>
              <w:jc w:val="right"/>
              <w:rPr>
                <w:rFonts w:cs="Arial"/>
                <w:lang w:val="de-DE"/>
              </w:rPr>
            </w:pPr>
            <w:r>
              <w:rPr>
                <w:rFonts w:cs="Arial"/>
                <w:lang w:val="de-DE"/>
              </w:rPr>
              <w:t>1,000</w:t>
            </w:r>
          </w:p>
        </w:tc>
        <w:tc>
          <w:tcPr>
            <w:tcW w:w="1080" w:type="dxa"/>
          </w:tcPr>
          <w:p w:rsidR="00685411" w:rsidRDefault="001405FF">
            <w:pPr>
              <w:jc w:val="right"/>
              <w:rPr>
                <w:lang w:val="de-DE"/>
              </w:rPr>
            </w:pPr>
            <w:r>
              <w:rPr>
                <w:lang w:val="de-DE"/>
              </w:rPr>
              <w:t>3,325</w:t>
            </w:r>
          </w:p>
        </w:tc>
      </w:tr>
      <w:tr w:rsidR="00685411">
        <w:trPr>
          <w:cantSplit/>
        </w:trPr>
        <w:tc>
          <w:tcPr>
            <w:tcW w:w="720" w:type="dxa"/>
          </w:tcPr>
          <w:p w:rsidR="00685411" w:rsidRDefault="00685411">
            <w:pPr>
              <w:ind w:left="252" w:hanging="252"/>
            </w:pPr>
          </w:p>
        </w:tc>
        <w:tc>
          <w:tcPr>
            <w:tcW w:w="5040" w:type="dxa"/>
          </w:tcPr>
          <w:p w:rsidR="00685411" w:rsidRDefault="001405FF">
            <w:pPr>
              <w:ind w:left="252" w:hanging="252"/>
            </w:pPr>
            <w:r>
              <w:t>Effect of Inflation Accounting</w:t>
            </w:r>
          </w:p>
        </w:tc>
        <w:tc>
          <w:tcPr>
            <w:tcW w:w="1440" w:type="dxa"/>
          </w:tcPr>
          <w:p w:rsidR="00685411" w:rsidRDefault="001405FF">
            <w:pPr>
              <w:jc w:val="right"/>
              <w:rPr>
                <w:rFonts w:cs="Arial"/>
              </w:rPr>
            </w:pPr>
            <w:r>
              <w:rPr>
                <w:rFonts w:cs="Arial"/>
              </w:rPr>
              <w:t>-</w:t>
            </w:r>
          </w:p>
        </w:tc>
        <w:tc>
          <w:tcPr>
            <w:tcW w:w="1620" w:type="dxa"/>
            <w:tcBorders>
              <w:bottom w:val="single" w:sz="4" w:space="0" w:color="auto"/>
            </w:tcBorders>
          </w:tcPr>
          <w:p w:rsidR="00685411" w:rsidRDefault="001405FF">
            <w:pPr>
              <w:jc w:val="right"/>
              <w:rPr>
                <w:rFonts w:cs="Arial"/>
              </w:rPr>
            </w:pPr>
            <w:r>
              <w:rPr>
                <w:rFonts w:cs="Arial"/>
              </w:rPr>
              <w:t>-</w:t>
            </w:r>
          </w:p>
        </w:tc>
        <w:tc>
          <w:tcPr>
            <w:tcW w:w="1260" w:type="dxa"/>
            <w:tcBorders>
              <w:bottom w:val="single" w:sz="4" w:space="0" w:color="auto"/>
            </w:tcBorders>
          </w:tcPr>
          <w:p w:rsidR="00685411" w:rsidRDefault="001405FF">
            <w:pPr>
              <w:jc w:val="right"/>
              <w:rPr>
                <w:lang w:val="de-DE"/>
              </w:rPr>
            </w:pPr>
            <w:r>
              <w:rPr>
                <w:lang w:val="de-DE"/>
              </w:rPr>
              <w:t>12,496</w:t>
            </w:r>
          </w:p>
        </w:tc>
        <w:tc>
          <w:tcPr>
            <w:tcW w:w="1080" w:type="dxa"/>
            <w:tcBorders>
              <w:bottom w:val="single" w:sz="4" w:space="0" w:color="auto"/>
            </w:tcBorders>
          </w:tcPr>
          <w:p w:rsidR="00685411" w:rsidRDefault="001405FF">
            <w:pPr>
              <w:jc w:val="right"/>
              <w:rPr>
                <w:lang w:val="de-DE"/>
              </w:rPr>
            </w:pPr>
            <w:r>
              <w:rPr>
                <w:lang w:val="de-DE"/>
              </w:rPr>
              <w:t>18,229</w:t>
            </w:r>
          </w:p>
        </w:tc>
        <w:tc>
          <w:tcPr>
            <w:tcW w:w="1260" w:type="dxa"/>
            <w:tcBorders>
              <w:bottom w:val="single" w:sz="4" w:space="0" w:color="auto"/>
            </w:tcBorders>
          </w:tcPr>
          <w:p w:rsidR="00685411" w:rsidRDefault="001405FF">
            <w:pPr>
              <w:jc w:val="right"/>
              <w:rPr>
                <w:lang w:val="de-DE"/>
              </w:rPr>
            </w:pPr>
            <w:r>
              <w:rPr>
                <w:lang w:val="de-DE"/>
              </w:rPr>
              <w:t>11,805</w:t>
            </w:r>
          </w:p>
        </w:tc>
        <w:tc>
          <w:tcPr>
            <w:tcW w:w="1080" w:type="dxa"/>
            <w:tcBorders>
              <w:bottom w:val="single" w:sz="4" w:space="0" w:color="auto"/>
            </w:tcBorders>
          </w:tcPr>
          <w:p w:rsidR="00685411" w:rsidRDefault="001405FF">
            <w:pPr>
              <w:jc w:val="right"/>
              <w:rPr>
                <w:rFonts w:cs="Arial"/>
                <w:lang w:val="de-DE"/>
              </w:rPr>
            </w:pPr>
            <w:r>
              <w:rPr>
                <w:rFonts w:cs="Arial"/>
                <w:lang w:val="de-DE"/>
              </w:rPr>
              <w:t>1,679</w:t>
            </w:r>
          </w:p>
        </w:tc>
        <w:tc>
          <w:tcPr>
            <w:tcW w:w="1080" w:type="dxa"/>
            <w:tcBorders>
              <w:bottom w:val="single" w:sz="4" w:space="0" w:color="auto"/>
            </w:tcBorders>
          </w:tcPr>
          <w:p w:rsidR="00685411" w:rsidRDefault="001405FF">
            <w:pPr>
              <w:jc w:val="right"/>
              <w:rPr>
                <w:lang w:val="de-DE"/>
              </w:rPr>
            </w:pPr>
            <w:r>
              <w:rPr>
                <w:lang w:val="de-DE"/>
              </w:rPr>
              <w:t>6,435</w:t>
            </w:r>
          </w:p>
        </w:tc>
      </w:tr>
      <w:tr w:rsidR="00685411">
        <w:trPr>
          <w:cantSplit/>
        </w:trPr>
        <w:tc>
          <w:tcPr>
            <w:tcW w:w="720" w:type="dxa"/>
          </w:tcPr>
          <w:p w:rsidR="00685411" w:rsidRDefault="00685411">
            <w:pPr>
              <w:ind w:left="252" w:hanging="252"/>
            </w:pPr>
          </w:p>
        </w:tc>
        <w:tc>
          <w:tcPr>
            <w:tcW w:w="5040" w:type="dxa"/>
          </w:tcPr>
          <w:p w:rsidR="00685411" w:rsidRDefault="001405FF">
            <w:pPr>
              <w:ind w:left="252" w:hanging="252"/>
            </w:pPr>
            <w:r>
              <w:t>Total Share Capital</w:t>
            </w:r>
          </w:p>
        </w:tc>
        <w:tc>
          <w:tcPr>
            <w:tcW w:w="1440" w:type="dxa"/>
            <w:tcBorders>
              <w:top w:val="single" w:sz="4" w:space="0" w:color="auto"/>
              <w:bottom w:val="double" w:sz="4" w:space="0" w:color="auto"/>
            </w:tcBorders>
          </w:tcPr>
          <w:p w:rsidR="00685411" w:rsidRDefault="001405FF">
            <w:pPr>
              <w:jc w:val="right"/>
              <w:rPr>
                <w:rFonts w:cs="Arial"/>
              </w:rPr>
            </w:pPr>
            <w:r>
              <w:rPr>
                <w:rFonts w:cs="Arial"/>
              </w:rPr>
              <w:t>40,622</w:t>
            </w:r>
          </w:p>
        </w:tc>
        <w:tc>
          <w:tcPr>
            <w:tcW w:w="1620" w:type="dxa"/>
            <w:tcBorders>
              <w:bottom w:val="double" w:sz="4" w:space="0" w:color="auto"/>
            </w:tcBorders>
          </w:tcPr>
          <w:p w:rsidR="00685411" w:rsidRDefault="001405FF">
            <w:pPr>
              <w:jc w:val="right"/>
              <w:rPr>
                <w:rFonts w:cs="Arial"/>
              </w:rPr>
            </w:pPr>
            <w:r>
              <w:rPr>
                <w:rFonts w:cs="Arial"/>
              </w:rPr>
              <w:t>731</w:t>
            </w:r>
          </w:p>
        </w:tc>
        <w:tc>
          <w:tcPr>
            <w:tcW w:w="1260" w:type="dxa"/>
            <w:tcBorders>
              <w:bottom w:val="double" w:sz="4" w:space="0" w:color="auto"/>
            </w:tcBorders>
          </w:tcPr>
          <w:p w:rsidR="00685411" w:rsidRDefault="001405FF">
            <w:pPr>
              <w:jc w:val="right"/>
              <w:rPr>
                <w:lang w:val="de-DE"/>
              </w:rPr>
            </w:pPr>
            <w:r>
              <w:rPr>
                <w:lang w:val="de-DE"/>
              </w:rPr>
              <w:t>22,496</w:t>
            </w:r>
          </w:p>
        </w:tc>
        <w:tc>
          <w:tcPr>
            <w:tcW w:w="1080" w:type="dxa"/>
            <w:tcBorders>
              <w:bottom w:val="double" w:sz="4" w:space="0" w:color="auto"/>
            </w:tcBorders>
          </w:tcPr>
          <w:p w:rsidR="00685411" w:rsidRDefault="001405FF">
            <w:pPr>
              <w:jc w:val="right"/>
              <w:rPr>
                <w:lang w:val="de-DE"/>
              </w:rPr>
            </w:pPr>
            <w:r>
              <w:rPr>
                <w:lang w:val="de-DE"/>
              </w:rPr>
              <w:t>28,229</w:t>
            </w:r>
          </w:p>
        </w:tc>
        <w:tc>
          <w:tcPr>
            <w:tcW w:w="1260" w:type="dxa"/>
            <w:tcBorders>
              <w:bottom w:val="double" w:sz="4" w:space="0" w:color="auto"/>
            </w:tcBorders>
          </w:tcPr>
          <w:p w:rsidR="00685411" w:rsidRDefault="001405FF">
            <w:pPr>
              <w:jc w:val="right"/>
              <w:rPr>
                <w:lang w:val="de-DE"/>
              </w:rPr>
            </w:pPr>
            <w:r>
              <w:rPr>
                <w:lang w:val="de-DE"/>
              </w:rPr>
              <w:t>18,005</w:t>
            </w:r>
          </w:p>
        </w:tc>
        <w:tc>
          <w:tcPr>
            <w:tcW w:w="1080" w:type="dxa"/>
            <w:tcBorders>
              <w:bottom w:val="double" w:sz="4" w:space="0" w:color="auto"/>
            </w:tcBorders>
          </w:tcPr>
          <w:p w:rsidR="00685411" w:rsidRDefault="001405FF">
            <w:pPr>
              <w:jc w:val="right"/>
              <w:rPr>
                <w:rFonts w:cs="Arial"/>
                <w:lang w:val="de-DE"/>
              </w:rPr>
            </w:pPr>
            <w:r>
              <w:rPr>
                <w:rFonts w:cs="Arial"/>
                <w:lang w:val="de-DE"/>
              </w:rPr>
              <w:t>2,679</w:t>
            </w:r>
          </w:p>
        </w:tc>
        <w:tc>
          <w:tcPr>
            <w:tcW w:w="1080" w:type="dxa"/>
            <w:tcBorders>
              <w:bottom w:val="double" w:sz="4" w:space="0" w:color="auto"/>
            </w:tcBorders>
          </w:tcPr>
          <w:p w:rsidR="00685411" w:rsidRDefault="001405FF">
            <w:pPr>
              <w:jc w:val="right"/>
              <w:rPr>
                <w:lang w:val="de-DE"/>
              </w:rPr>
            </w:pPr>
            <w:r>
              <w:rPr>
                <w:lang w:val="de-DE"/>
              </w:rPr>
              <w:t>9,760</w:t>
            </w:r>
          </w:p>
        </w:tc>
      </w:tr>
    </w:tbl>
    <w:p w:rsidR="00685411" w:rsidRDefault="00685411">
      <w:pPr>
        <w:tabs>
          <w:tab w:val="left" w:pos="1584"/>
        </w:tabs>
        <w:ind w:right="14"/>
        <w:rPr>
          <w:sz w:val="20"/>
        </w:rPr>
      </w:pPr>
    </w:p>
    <w:p w:rsidR="00685411" w:rsidRDefault="001405FF">
      <w:pPr>
        <w:tabs>
          <w:tab w:val="left" w:pos="1584"/>
        </w:tabs>
        <w:ind w:right="14"/>
        <w:rPr>
          <w:sz w:val="20"/>
        </w:rPr>
      </w:pPr>
      <w:r>
        <w:rPr>
          <w:sz w:val="20"/>
        </w:rPr>
        <w:t>(*)Turkish lira equivalent translated by the period end foreign exchange rate.</w:t>
      </w:r>
    </w:p>
    <w:p w:rsidR="00685411" w:rsidRDefault="00685411">
      <w:pPr>
        <w:tabs>
          <w:tab w:val="left" w:pos="1584"/>
        </w:tabs>
        <w:ind w:right="14"/>
        <w:jc w:val="center"/>
      </w:pPr>
    </w:p>
    <w:p w:rsidR="00685411" w:rsidRDefault="00685411">
      <w:pPr>
        <w:tabs>
          <w:tab w:val="left" w:pos="1584"/>
        </w:tabs>
        <w:ind w:right="14"/>
        <w:jc w:val="both"/>
        <w:sectPr w:rsidR="00685411">
          <w:type w:val="oddPage"/>
          <w:pgSz w:w="16834" w:h="11909" w:orient="landscape" w:code="9"/>
          <w:pgMar w:top="1440" w:right="1440" w:bottom="1440" w:left="1440" w:header="708" w:footer="708" w:gutter="0"/>
          <w:cols w:space="708"/>
          <w:noEndnote/>
          <w:titlePg/>
        </w:sectPr>
      </w:pPr>
    </w:p>
    <w:p w:rsidR="00685411" w:rsidRDefault="001405FF">
      <w:pPr>
        <w:pStyle w:val="BodyText2"/>
        <w:jc w:val="center"/>
      </w:pPr>
      <w:r>
        <w:t>-3-</w:t>
      </w:r>
    </w:p>
    <w:p w:rsidR="00685411" w:rsidRDefault="00685411">
      <w:pPr>
        <w:tabs>
          <w:tab w:val="left" w:pos="576"/>
          <w:tab w:val="left" w:pos="864"/>
          <w:tab w:val="left" w:pos="1584"/>
          <w:tab w:val="left" w:pos="2016"/>
          <w:tab w:val="left" w:pos="4032"/>
        </w:tabs>
        <w:ind w:right="14"/>
        <w:jc w:val="center"/>
      </w:pPr>
    </w:p>
    <w:p w:rsidR="00685411" w:rsidRDefault="001405FF">
      <w:pPr>
        <w:tabs>
          <w:tab w:val="left" w:pos="576"/>
          <w:tab w:val="left" w:pos="864"/>
          <w:tab w:val="left" w:pos="1584"/>
          <w:tab w:val="left" w:pos="2016"/>
          <w:tab w:val="left" w:pos="4032"/>
        </w:tabs>
        <w:ind w:right="14"/>
        <w:jc w:val="center"/>
      </w:pPr>
      <w:r>
        <w:t xml:space="preserve"> (CONVENIENCE TRANSLATION OF A REPORT AND FINANCIAL STATEMENTS ORIGINALLY ISSUED IN TURKISH – SEE NOTE 9)</w:t>
      </w:r>
    </w:p>
    <w:p w:rsidR="00685411" w:rsidRDefault="00685411">
      <w:pPr>
        <w:tabs>
          <w:tab w:val="left" w:pos="1584"/>
        </w:tabs>
      </w:pPr>
    </w:p>
    <w:p w:rsidR="00685411" w:rsidRDefault="001405FF">
      <w:pPr>
        <w:tabs>
          <w:tab w:val="left" w:pos="864"/>
          <w:tab w:val="left" w:pos="2160"/>
          <w:tab w:val="left" w:pos="8280"/>
        </w:tabs>
        <w:ind w:right="14"/>
        <w:rPr>
          <w:b/>
        </w:rPr>
      </w:pPr>
      <w:r>
        <w:rPr>
          <w:b/>
        </w:rPr>
        <w:t xml:space="preserve">(2) CHANGES IN THE STRUCTURE OF THE CONSOLIDATED SUBSIDIARIES </w:t>
      </w:r>
    </w:p>
    <w:p w:rsidR="00685411" w:rsidRDefault="001405FF">
      <w:pPr>
        <w:tabs>
          <w:tab w:val="left" w:pos="864"/>
          <w:tab w:val="left" w:pos="2160"/>
          <w:tab w:val="left" w:pos="8280"/>
        </w:tabs>
        <w:ind w:right="14"/>
      </w:pPr>
      <w:r>
        <w:rPr>
          <w:b/>
          <w:u w:val="single"/>
        </w:rPr>
        <w:t xml:space="preserve">      AS COMPARED TO THE PRIOR PERIODS                    </w:t>
      </w:r>
      <w:r>
        <w:rPr>
          <w:b/>
          <w:u w:val="single"/>
        </w:rPr>
        <w:t xml:space="preserve">                         :</w:t>
      </w:r>
    </w:p>
    <w:p w:rsidR="00685411" w:rsidRDefault="00685411">
      <w:pPr>
        <w:tabs>
          <w:tab w:val="left" w:pos="864"/>
          <w:tab w:val="left" w:pos="2160"/>
          <w:tab w:val="left" w:pos="8280"/>
        </w:tabs>
        <w:ind w:right="14"/>
      </w:pPr>
    </w:p>
    <w:p w:rsidR="00685411" w:rsidRDefault="001405FF">
      <w:pPr>
        <w:tabs>
          <w:tab w:val="left" w:pos="864"/>
          <w:tab w:val="left" w:pos="2160"/>
          <w:tab w:val="left" w:pos="8280"/>
        </w:tabs>
        <w:ind w:right="14"/>
      </w:pPr>
      <w:r>
        <w:t>None.</w:t>
      </w:r>
    </w:p>
    <w:p w:rsidR="00685411" w:rsidRDefault="00685411">
      <w:pPr>
        <w:pStyle w:val="BodyText2"/>
      </w:pPr>
    </w:p>
    <w:p w:rsidR="00685411" w:rsidRDefault="001405FF">
      <w:pPr>
        <w:tabs>
          <w:tab w:val="left" w:pos="864"/>
          <w:tab w:val="left" w:pos="1584"/>
          <w:tab w:val="left" w:pos="7056"/>
          <w:tab w:val="left" w:pos="8496"/>
        </w:tabs>
        <w:ind w:left="426" w:right="14" w:hanging="426"/>
        <w:rPr>
          <w:b/>
          <w:u w:val="single"/>
        </w:rPr>
      </w:pPr>
      <w:r>
        <w:rPr>
          <w:b/>
          <w:u w:val="single"/>
        </w:rPr>
        <w:t>(3)  NON-CONSOLIDATED FINANCIAL INSTITUTIONS:</w:t>
      </w:r>
    </w:p>
    <w:p w:rsidR="00685411" w:rsidRDefault="00685411">
      <w:pPr>
        <w:pStyle w:val="BodyText"/>
        <w:tabs>
          <w:tab w:val="left" w:pos="7056"/>
          <w:tab w:val="left" w:pos="8496"/>
        </w:tabs>
      </w:pPr>
    </w:p>
    <w:p w:rsidR="00685411" w:rsidRDefault="001405FF">
      <w:pPr>
        <w:pStyle w:val="BodyText"/>
        <w:tabs>
          <w:tab w:val="left" w:pos="7056"/>
          <w:tab w:val="left" w:pos="8496"/>
        </w:tabs>
      </w:pPr>
      <w:r>
        <w:t>As of September 30, 2002, non-consolidated financial institutions are as follows:</w:t>
      </w:r>
    </w:p>
    <w:p w:rsidR="00685411" w:rsidRDefault="00685411">
      <w:pPr>
        <w:pStyle w:val="BodyText"/>
        <w:tabs>
          <w:tab w:val="left" w:pos="7056"/>
          <w:tab w:val="left" w:pos="8496"/>
        </w:tabs>
      </w:pPr>
    </w:p>
    <w:tbl>
      <w:tblPr>
        <w:tblW w:w="0" w:type="auto"/>
        <w:tblInd w:w="108" w:type="dxa"/>
        <w:tblLayout w:type="fixed"/>
        <w:tblLook w:val="0000" w:firstRow="0" w:lastRow="0" w:firstColumn="0" w:lastColumn="0" w:noHBand="0" w:noVBand="0"/>
      </w:tblPr>
      <w:tblGrid>
        <w:gridCol w:w="2988"/>
        <w:gridCol w:w="360"/>
        <w:gridCol w:w="432"/>
        <w:gridCol w:w="236"/>
        <w:gridCol w:w="1474"/>
        <w:gridCol w:w="236"/>
        <w:gridCol w:w="1474"/>
      </w:tblGrid>
      <w:tr w:rsidR="00685411">
        <w:tc>
          <w:tcPr>
            <w:tcW w:w="2988" w:type="dxa"/>
          </w:tcPr>
          <w:p w:rsidR="00685411" w:rsidRDefault="00685411">
            <w:pPr>
              <w:pStyle w:val="BodyText"/>
              <w:tabs>
                <w:tab w:val="left" w:pos="7056"/>
                <w:tab w:val="left" w:pos="8496"/>
              </w:tabs>
              <w:ind w:left="180" w:hanging="180"/>
              <w:rPr>
                <w:sz w:val="18"/>
              </w:rPr>
            </w:pPr>
          </w:p>
        </w:tc>
        <w:tc>
          <w:tcPr>
            <w:tcW w:w="360" w:type="dxa"/>
          </w:tcPr>
          <w:p w:rsidR="00685411" w:rsidRDefault="00685411">
            <w:pPr>
              <w:pStyle w:val="BodyText"/>
              <w:tabs>
                <w:tab w:val="left" w:pos="7056"/>
                <w:tab w:val="left" w:pos="8496"/>
              </w:tabs>
              <w:rPr>
                <w:sz w:val="18"/>
              </w:rPr>
            </w:pPr>
          </w:p>
        </w:tc>
        <w:tc>
          <w:tcPr>
            <w:tcW w:w="432" w:type="dxa"/>
          </w:tcPr>
          <w:p w:rsidR="00685411" w:rsidRDefault="00685411">
            <w:pPr>
              <w:pStyle w:val="BodyText"/>
              <w:tabs>
                <w:tab w:val="left" w:pos="7056"/>
                <w:tab w:val="left" w:pos="8496"/>
              </w:tabs>
              <w:ind w:left="101" w:right="0" w:hanging="101"/>
              <w:jc w:val="center"/>
              <w:rPr>
                <w:sz w:val="18"/>
              </w:rPr>
            </w:pPr>
          </w:p>
        </w:tc>
        <w:tc>
          <w:tcPr>
            <w:tcW w:w="236" w:type="dxa"/>
          </w:tcPr>
          <w:p w:rsidR="00685411" w:rsidRDefault="00685411">
            <w:pPr>
              <w:pStyle w:val="BodyText"/>
              <w:tabs>
                <w:tab w:val="left" w:pos="7056"/>
                <w:tab w:val="left" w:pos="8496"/>
              </w:tabs>
              <w:jc w:val="center"/>
              <w:rPr>
                <w:sz w:val="18"/>
              </w:rPr>
            </w:pPr>
          </w:p>
        </w:tc>
        <w:tc>
          <w:tcPr>
            <w:tcW w:w="1474" w:type="dxa"/>
            <w:tcBorders>
              <w:bottom w:val="single" w:sz="4" w:space="0" w:color="auto"/>
            </w:tcBorders>
          </w:tcPr>
          <w:p w:rsidR="00685411" w:rsidRDefault="001405FF">
            <w:pPr>
              <w:pStyle w:val="BodyText"/>
              <w:tabs>
                <w:tab w:val="left" w:pos="7056"/>
                <w:tab w:val="left" w:pos="8496"/>
              </w:tabs>
              <w:ind w:left="101" w:right="0" w:hanging="101"/>
              <w:jc w:val="center"/>
              <w:rPr>
                <w:sz w:val="18"/>
              </w:rPr>
            </w:pPr>
            <w:r>
              <w:rPr>
                <w:sz w:val="18"/>
              </w:rPr>
              <w:t>1</w:t>
            </w:r>
          </w:p>
        </w:tc>
        <w:tc>
          <w:tcPr>
            <w:tcW w:w="236" w:type="dxa"/>
          </w:tcPr>
          <w:p w:rsidR="00685411" w:rsidRDefault="00685411">
            <w:pPr>
              <w:pStyle w:val="BodyText"/>
              <w:tabs>
                <w:tab w:val="left" w:pos="7056"/>
                <w:tab w:val="left" w:pos="8496"/>
              </w:tabs>
              <w:jc w:val="center"/>
              <w:rPr>
                <w:sz w:val="18"/>
              </w:rPr>
            </w:pPr>
          </w:p>
        </w:tc>
        <w:tc>
          <w:tcPr>
            <w:tcW w:w="1474" w:type="dxa"/>
            <w:tcBorders>
              <w:bottom w:val="single" w:sz="4" w:space="0" w:color="auto"/>
            </w:tcBorders>
          </w:tcPr>
          <w:p w:rsidR="00685411" w:rsidRDefault="001405FF">
            <w:pPr>
              <w:pStyle w:val="BodyText"/>
              <w:tabs>
                <w:tab w:val="left" w:pos="7056"/>
                <w:tab w:val="left" w:pos="8496"/>
              </w:tabs>
              <w:ind w:left="101" w:right="0" w:hanging="101"/>
              <w:jc w:val="center"/>
              <w:rPr>
                <w:sz w:val="18"/>
              </w:rPr>
            </w:pPr>
            <w:r>
              <w:rPr>
                <w:sz w:val="18"/>
              </w:rPr>
              <w:t>2</w:t>
            </w:r>
          </w:p>
        </w:tc>
      </w:tr>
      <w:tr w:rsidR="00685411">
        <w:tc>
          <w:tcPr>
            <w:tcW w:w="2988" w:type="dxa"/>
          </w:tcPr>
          <w:p w:rsidR="00685411" w:rsidRDefault="001405FF">
            <w:pPr>
              <w:pStyle w:val="BodyText"/>
              <w:tabs>
                <w:tab w:val="left" w:pos="7056"/>
                <w:tab w:val="left" w:pos="8496"/>
              </w:tabs>
              <w:ind w:left="180" w:hanging="180"/>
              <w:rPr>
                <w:sz w:val="18"/>
              </w:rPr>
            </w:pPr>
            <w:r>
              <w:rPr>
                <w:sz w:val="18"/>
              </w:rPr>
              <w:t xml:space="preserve">Name of financial </w:t>
            </w:r>
          </w:p>
          <w:p w:rsidR="00685411" w:rsidRDefault="001405FF">
            <w:pPr>
              <w:pStyle w:val="BodyText"/>
              <w:tabs>
                <w:tab w:val="left" w:pos="7056"/>
                <w:tab w:val="left" w:pos="8496"/>
              </w:tabs>
              <w:ind w:left="180" w:hanging="180"/>
              <w:rPr>
                <w:sz w:val="18"/>
              </w:rPr>
            </w:pPr>
            <w:r>
              <w:rPr>
                <w:sz w:val="18"/>
              </w:rPr>
              <w:t xml:space="preserve">      instruction </w:t>
            </w:r>
          </w:p>
        </w:tc>
        <w:tc>
          <w:tcPr>
            <w:tcW w:w="360" w:type="dxa"/>
          </w:tcPr>
          <w:p w:rsidR="00685411" w:rsidRDefault="00685411">
            <w:pPr>
              <w:pStyle w:val="BodyText"/>
              <w:tabs>
                <w:tab w:val="left" w:pos="7056"/>
                <w:tab w:val="left" w:pos="8496"/>
              </w:tabs>
              <w:rPr>
                <w:sz w:val="18"/>
              </w:rPr>
            </w:pPr>
          </w:p>
          <w:p w:rsidR="00685411" w:rsidRDefault="001405FF">
            <w:pPr>
              <w:pStyle w:val="BodyText"/>
              <w:tabs>
                <w:tab w:val="left" w:pos="7056"/>
                <w:tab w:val="left" w:pos="8496"/>
              </w:tabs>
              <w:rPr>
                <w:sz w:val="18"/>
              </w:rPr>
            </w:pPr>
            <w:r>
              <w:rPr>
                <w:sz w:val="18"/>
              </w:rPr>
              <w:t>:</w:t>
            </w:r>
          </w:p>
        </w:tc>
        <w:tc>
          <w:tcPr>
            <w:tcW w:w="432" w:type="dxa"/>
          </w:tcPr>
          <w:p w:rsidR="00685411" w:rsidRDefault="00685411">
            <w:pPr>
              <w:pStyle w:val="BodyText"/>
              <w:tabs>
                <w:tab w:val="left" w:pos="7056"/>
                <w:tab w:val="left" w:pos="8496"/>
              </w:tabs>
              <w:ind w:left="101" w:right="0" w:hanging="101"/>
              <w:jc w:val="right"/>
              <w:rPr>
                <w:sz w:val="18"/>
              </w:rPr>
            </w:pPr>
          </w:p>
        </w:tc>
        <w:tc>
          <w:tcPr>
            <w:tcW w:w="236" w:type="dxa"/>
          </w:tcPr>
          <w:p w:rsidR="00685411" w:rsidRDefault="00685411">
            <w:pPr>
              <w:pStyle w:val="BodyText"/>
              <w:tabs>
                <w:tab w:val="left" w:pos="7056"/>
                <w:tab w:val="left" w:pos="8496"/>
              </w:tabs>
              <w:jc w:val="right"/>
              <w:rPr>
                <w:sz w:val="18"/>
              </w:rPr>
            </w:pPr>
          </w:p>
        </w:tc>
        <w:tc>
          <w:tcPr>
            <w:tcW w:w="1474" w:type="dxa"/>
          </w:tcPr>
          <w:p w:rsidR="00685411" w:rsidRDefault="001405FF">
            <w:pPr>
              <w:pStyle w:val="BodyText"/>
              <w:tabs>
                <w:tab w:val="left" w:pos="7056"/>
                <w:tab w:val="left" w:pos="8496"/>
              </w:tabs>
              <w:ind w:left="101" w:right="0" w:hanging="101"/>
              <w:jc w:val="center"/>
              <w:rPr>
                <w:sz w:val="18"/>
              </w:rPr>
            </w:pPr>
            <w:r>
              <w:rPr>
                <w:sz w:val="18"/>
              </w:rPr>
              <w:t>Varlık Yatırım Ortaklığı A.Ş. (*)</w:t>
            </w:r>
          </w:p>
        </w:tc>
        <w:tc>
          <w:tcPr>
            <w:tcW w:w="236" w:type="dxa"/>
          </w:tcPr>
          <w:p w:rsidR="00685411" w:rsidRDefault="00685411">
            <w:pPr>
              <w:pStyle w:val="BodyText"/>
              <w:tabs>
                <w:tab w:val="left" w:pos="7056"/>
                <w:tab w:val="left" w:pos="8496"/>
              </w:tabs>
              <w:jc w:val="center"/>
              <w:rPr>
                <w:sz w:val="18"/>
              </w:rPr>
            </w:pPr>
          </w:p>
        </w:tc>
        <w:tc>
          <w:tcPr>
            <w:tcW w:w="1474" w:type="dxa"/>
          </w:tcPr>
          <w:p w:rsidR="00685411" w:rsidRDefault="001405FF">
            <w:pPr>
              <w:pStyle w:val="BodyText"/>
              <w:tabs>
                <w:tab w:val="left" w:pos="7056"/>
                <w:tab w:val="left" w:pos="8496"/>
              </w:tabs>
              <w:ind w:left="101" w:right="0" w:hanging="101"/>
              <w:jc w:val="center"/>
              <w:rPr>
                <w:sz w:val="18"/>
                <w:lang w:val="de-DE"/>
              </w:rPr>
            </w:pPr>
            <w:r>
              <w:rPr>
                <w:sz w:val="18"/>
                <w:lang w:val="de-DE"/>
              </w:rPr>
              <w:t>TEB</w:t>
            </w:r>
            <w:r>
              <w:rPr>
                <w:sz w:val="18"/>
                <w:lang w:val="de-DE"/>
              </w:rPr>
              <w:t xml:space="preserve"> Kıymetli Madenler A.Ş.</w:t>
            </w:r>
          </w:p>
          <w:p w:rsidR="00685411" w:rsidRDefault="001405FF">
            <w:pPr>
              <w:pStyle w:val="BodyText"/>
              <w:tabs>
                <w:tab w:val="left" w:pos="7056"/>
                <w:tab w:val="left" w:pos="8496"/>
              </w:tabs>
              <w:ind w:left="101" w:right="0" w:hanging="101"/>
              <w:jc w:val="center"/>
              <w:rPr>
                <w:sz w:val="18"/>
              </w:rPr>
            </w:pPr>
            <w:r>
              <w:rPr>
                <w:sz w:val="18"/>
              </w:rPr>
              <w:t>(*)</w:t>
            </w:r>
          </w:p>
        </w:tc>
      </w:tr>
      <w:tr w:rsidR="00685411">
        <w:tc>
          <w:tcPr>
            <w:tcW w:w="2988" w:type="dxa"/>
          </w:tcPr>
          <w:p w:rsidR="00685411" w:rsidRDefault="001405FF">
            <w:pPr>
              <w:pStyle w:val="BodyText"/>
              <w:tabs>
                <w:tab w:val="left" w:pos="7056"/>
                <w:tab w:val="left" w:pos="8496"/>
              </w:tabs>
              <w:ind w:left="180" w:hanging="180"/>
              <w:rPr>
                <w:sz w:val="18"/>
              </w:rPr>
            </w:pPr>
            <w:r>
              <w:rPr>
                <w:sz w:val="18"/>
              </w:rPr>
              <w:t>Head office</w:t>
            </w:r>
          </w:p>
        </w:tc>
        <w:tc>
          <w:tcPr>
            <w:tcW w:w="360" w:type="dxa"/>
          </w:tcPr>
          <w:p w:rsidR="00685411" w:rsidRDefault="001405FF">
            <w:pPr>
              <w:pStyle w:val="BodyText"/>
              <w:tabs>
                <w:tab w:val="left" w:pos="7056"/>
                <w:tab w:val="left" w:pos="8496"/>
              </w:tabs>
              <w:rPr>
                <w:sz w:val="18"/>
              </w:rPr>
            </w:pPr>
            <w:r>
              <w:rPr>
                <w:sz w:val="18"/>
              </w:rPr>
              <w:t>:</w:t>
            </w:r>
          </w:p>
        </w:tc>
        <w:tc>
          <w:tcPr>
            <w:tcW w:w="432" w:type="dxa"/>
          </w:tcPr>
          <w:p w:rsidR="00685411" w:rsidRDefault="00685411">
            <w:pPr>
              <w:pStyle w:val="BodyText"/>
              <w:tabs>
                <w:tab w:val="left" w:pos="7056"/>
                <w:tab w:val="left" w:pos="8496"/>
              </w:tabs>
              <w:ind w:left="101" w:right="0" w:hanging="101"/>
              <w:jc w:val="right"/>
              <w:rPr>
                <w:sz w:val="18"/>
              </w:rPr>
            </w:pPr>
          </w:p>
        </w:tc>
        <w:tc>
          <w:tcPr>
            <w:tcW w:w="236" w:type="dxa"/>
          </w:tcPr>
          <w:p w:rsidR="00685411" w:rsidRDefault="00685411">
            <w:pPr>
              <w:pStyle w:val="BodyText"/>
              <w:tabs>
                <w:tab w:val="left" w:pos="7056"/>
                <w:tab w:val="left" w:pos="8496"/>
              </w:tabs>
              <w:jc w:val="right"/>
              <w:rPr>
                <w:sz w:val="18"/>
              </w:rPr>
            </w:pPr>
          </w:p>
        </w:tc>
        <w:tc>
          <w:tcPr>
            <w:tcW w:w="1474" w:type="dxa"/>
          </w:tcPr>
          <w:p w:rsidR="00685411" w:rsidRDefault="001405FF">
            <w:pPr>
              <w:pStyle w:val="BodyText"/>
              <w:tabs>
                <w:tab w:val="left" w:pos="7056"/>
                <w:tab w:val="left" w:pos="8496"/>
              </w:tabs>
              <w:ind w:left="101" w:right="0" w:hanging="101"/>
              <w:jc w:val="right"/>
              <w:rPr>
                <w:sz w:val="18"/>
              </w:rPr>
            </w:pPr>
            <w:r>
              <w:rPr>
                <w:sz w:val="18"/>
              </w:rPr>
              <w:t>İstanbul</w:t>
            </w:r>
          </w:p>
        </w:tc>
        <w:tc>
          <w:tcPr>
            <w:tcW w:w="236" w:type="dxa"/>
          </w:tcPr>
          <w:p w:rsidR="00685411" w:rsidRDefault="00685411">
            <w:pPr>
              <w:pStyle w:val="BodyText"/>
              <w:tabs>
                <w:tab w:val="left" w:pos="7056"/>
                <w:tab w:val="left" w:pos="8496"/>
              </w:tabs>
              <w:jc w:val="right"/>
              <w:rPr>
                <w:sz w:val="18"/>
              </w:rPr>
            </w:pPr>
          </w:p>
        </w:tc>
        <w:tc>
          <w:tcPr>
            <w:tcW w:w="1474" w:type="dxa"/>
          </w:tcPr>
          <w:p w:rsidR="00685411" w:rsidRDefault="001405FF">
            <w:pPr>
              <w:pStyle w:val="BodyText"/>
              <w:tabs>
                <w:tab w:val="left" w:pos="7056"/>
                <w:tab w:val="left" w:pos="8496"/>
              </w:tabs>
              <w:ind w:left="101" w:right="0" w:hanging="101"/>
              <w:jc w:val="right"/>
              <w:rPr>
                <w:sz w:val="18"/>
              </w:rPr>
            </w:pPr>
            <w:r>
              <w:rPr>
                <w:sz w:val="18"/>
              </w:rPr>
              <w:t>İstanbul</w:t>
            </w:r>
          </w:p>
        </w:tc>
      </w:tr>
      <w:tr w:rsidR="00685411">
        <w:tc>
          <w:tcPr>
            <w:tcW w:w="2988" w:type="dxa"/>
          </w:tcPr>
          <w:p w:rsidR="00685411" w:rsidRDefault="001405FF">
            <w:pPr>
              <w:pStyle w:val="EndnoteText"/>
              <w:tabs>
                <w:tab w:val="left" w:pos="864"/>
                <w:tab w:val="left" w:pos="7056"/>
                <w:tab w:val="left" w:pos="8496"/>
              </w:tabs>
              <w:ind w:left="180" w:hanging="180"/>
              <w:rPr>
                <w:rFonts w:ascii="Arial" w:hAnsi="Arial" w:cs="Arial"/>
                <w:sz w:val="18"/>
              </w:rPr>
            </w:pPr>
            <w:r>
              <w:rPr>
                <w:rFonts w:ascii="Arial" w:hAnsi="Arial" w:cs="Arial"/>
                <w:sz w:val="18"/>
              </w:rPr>
              <w:t>Asset total</w:t>
            </w:r>
          </w:p>
        </w:tc>
        <w:tc>
          <w:tcPr>
            <w:tcW w:w="360" w:type="dxa"/>
          </w:tcPr>
          <w:p w:rsidR="00685411" w:rsidRDefault="001405FF">
            <w:pPr>
              <w:pStyle w:val="EndnoteText"/>
              <w:tabs>
                <w:tab w:val="left" w:pos="864"/>
                <w:tab w:val="left" w:pos="7056"/>
                <w:tab w:val="left" w:pos="8496"/>
              </w:tabs>
              <w:rPr>
                <w:sz w:val="18"/>
              </w:rPr>
            </w:pPr>
            <w:r>
              <w:rPr>
                <w:sz w:val="18"/>
              </w:rPr>
              <w:t>:</w:t>
            </w:r>
          </w:p>
        </w:tc>
        <w:tc>
          <w:tcPr>
            <w:tcW w:w="432" w:type="dxa"/>
          </w:tcPr>
          <w:p w:rsidR="00685411" w:rsidRDefault="00685411">
            <w:pPr>
              <w:pStyle w:val="EndnoteText"/>
              <w:tabs>
                <w:tab w:val="left" w:pos="864"/>
                <w:tab w:val="left" w:pos="7056"/>
                <w:tab w:val="left" w:pos="8496"/>
              </w:tabs>
              <w:ind w:left="101" w:hanging="101"/>
              <w:jc w:val="right"/>
              <w:rPr>
                <w:sz w:val="18"/>
              </w:rPr>
            </w:pPr>
          </w:p>
        </w:tc>
        <w:tc>
          <w:tcPr>
            <w:tcW w:w="236" w:type="dxa"/>
          </w:tcPr>
          <w:p w:rsidR="00685411" w:rsidRDefault="00685411">
            <w:pPr>
              <w:pStyle w:val="EndnoteText"/>
              <w:tabs>
                <w:tab w:val="left" w:pos="864"/>
                <w:tab w:val="left" w:pos="7056"/>
                <w:tab w:val="left" w:pos="8496"/>
              </w:tabs>
              <w:jc w:val="right"/>
              <w:rPr>
                <w:sz w:val="18"/>
              </w:rPr>
            </w:pPr>
          </w:p>
        </w:tc>
        <w:tc>
          <w:tcPr>
            <w:tcW w:w="1474" w:type="dxa"/>
          </w:tcPr>
          <w:p w:rsidR="00685411" w:rsidRDefault="001405FF">
            <w:pPr>
              <w:pStyle w:val="BodyText"/>
              <w:tabs>
                <w:tab w:val="left" w:pos="7056"/>
                <w:tab w:val="left" w:pos="8496"/>
              </w:tabs>
              <w:ind w:left="101" w:right="0" w:hanging="101"/>
              <w:jc w:val="right"/>
              <w:rPr>
                <w:sz w:val="20"/>
              </w:rPr>
            </w:pPr>
            <w:r>
              <w:rPr>
                <w:sz w:val="20"/>
              </w:rPr>
              <w:t>1,344</w:t>
            </w:r>
          </w:p>
        </w:tc>
        <w:tc>
          <w:tcPr>
            <w:tcW w:w="236" w:type="dxa"/>
          </w:tcPr>
          <w:p w:rsidR="00685411" w:rsidRDefault="00685411">
            <w:pPr>
              <w:pStyle w:val="BodyText"/>
              <w:tabs>
                <w:tab w:val="left" w:pos="7056"/>
                <w:tab w:val="left" w:pos="8496"/>
              </w:tabs>
              <w:jc w:val="right"/>
              <w:rPr>
                <w:sz w:val="20"/>
              </w:rPr>
            </w:pPr>
          </w:p>
        </w:tc>
        <w:tc>
          <w:tcPr>
            <w:tcW w:w="1474" w:type="dxa"/>
          </w:tcPr>
          <w:p w:rsidR="00685411" w:rsidRDefault="001405FF">
            <w:pPr>
              <w:pStyle w:val="BodyText"/>
              <w:tabs>
                <w:tab w:val="left" w:pos="7056"/>
                <w:tab w:val="left" w:pos="8496"/>
              </w:tabs>
              <w:ind w:left="101" w:right="0" w:hanging="101"/>
              <w:jc w:val="right"/>
              <w:rPr>
                <w:rFonts w:cs="Arial"/>
                <w:sz w:val="20"/>
              </w:rPr>
            </w:pPr>
            <w:r>
              <w:rPr>
                <w:rFonts w:cs="Arial"/>
                <w:sz w:val="20"/>
              </w:rPr>
              <w:t>291</w:t>
            </w:r>
          </w:p>
        </w:tc>
      </w:tr>
      <w:tr w:rsidR="00685411">
        <w:tc>
          <w:tcPr>
            <w:tcW w:w="2988" w:type="dxa"/>
          </w:tcPr>
          <w:p w:rsidR="00685411" w:rsidRDefault="001405FF">
            <w:pPr>
              <w:pStyle w:val="EndnoteText"/>
              <w:tabs>
                <w:tab w:val="left" w:pos="864"/>
                <w:tab w:val="left" w:pos="7056"/>
                <w:tab w:val="left" w:pos="8496"/>
              </w:tabs>
              <w:ind w:left="180" w:hanging="180"/>
              <w:rPr>
                <w:rFonts w:ascii="Arial" w:hAnsi="Arial" w:cs="Arial"/>
                <w:sz w:val="18"/>
              </w:rPr>
            </w:pPr>
            <w:r>
              <w:rPr>
                <w:rFonts w:ascii="Arial" w:hAnsi="Arial" w:cs="Arial"/>
                <w:sz w:val="18"/>
              </w:rPr>
              <w:t>Shareholder’s equity</w:t>
            </w:r>
          </w:p>
        </w:tc>
        <w:tc>
          <w:tcPr>
            <w:tcW w:w="360" w:type="dxa"/>
          </w:tcPr>
          <w:p w:rsidR="00685411" w:rsidRDefault="001405FF">
            <w:pPr>
              <w:pStyle w:val="EndnoteText"/>
              <w:tabs>
                <w:tab w:val="left" w:pos="864"/>
                <w:tab w:val="left" w:pos="7056"/>
                <w:tab w:val="left" w:pos="8496"/>
              </w:tabs>
              <w:rPr>
                <w:sz w:val="18"/>
              </w:rPr>
            </w:pPr>
            <w:r>
              <w:rPr>
                <w:sz w:val="18"/>
              </w:rPr>
              <w:t>:</w:t>
            </w:r>
          </w:p>
        </w:tc>
        <w:tc>
          <w:tcPr>
            <w:tcW w:w="432" w:type="dxa"/>
          </w:tcPr>
          <w:p w:rsidR="00685411" w:rsidRDefault="00685411">
            <w:pPr>
              <w:pStyle w:val="EndnoteText"/>
              <w:tabs>
                <w:tab w:val="left" w:pos="864"/>
                <w:tab w:val="left" w:pos="7056"/>
                <w:tab w:val="left" w:pos="8496"/>
              </w:tabs>
              <w:ind w:left="101" w:hanging="101"/>
              <w:jc w:val="right"/>
              <w:rPr>
                <w:sz w:val="18"/>
              </w:rPr>
            </w:pPr>
          </w:p>
        </w:tc>
        <w:tc>
          <w:tcPr>
            <w:tcW w:w="236" w:type="dxa"/>
          </w:tcPr>
          <w:p w:rsidR="00685411" w:rsidRDefault="00685411">
            <w:pPr>
              <w:pStyle w:val="EndnoteText"/>
              <w:tabs>
                <w:tab w:val="left" w:pos="864"/>
                <w:tab w:val="left" w:pos="7056"/>
                <w:tab w:val="left" w:pos="8496"/>
              </w:tabs>
              <w:jc w:val="right"/>
              <w:rPr>
                <w:sz w:val="18"/>
              </w:rPr>
            </w:pPr>
          </w:p>
        </w:tc>
        <w:tc>
          <w:tcPr>
            <w:tcW w:w="1474" w:type="dxa"/>
          </w:tcPr>
          <w:p w:rsidR="00685411" w:rsidRDefault="001405FF">
            <w:pPr>
              <w:pStyle w:val="BodyText"/>
              <w:tabs>
                <w:tab w:val="left" w:pos="7056"/>
                <w:tab w:val="left" w:pos="8496"/>
              </w:tabs>
              <w:ind w:left="101" w:right="0" w:hanging="101"/>
              <w:jc w:val="right"/>
              <w:rPr>
                <w:rFonts w:cs="Arial"/>
                <w:sz w:val="20"/>
              </w:rPr>
            </w:pPr>
            <w:r>
              <w:rPr>
                <w:rFonts w:cs="Arial"/>
                <w:sz w:val="20"/>
              </w:rPr>
              <w:t>1,320</w:t>
            </w:r>
          </w:p>
        </w:tc>
        <w:tc>
          <w:tcPr>
            <w:tcW w:w="236" w:type="dxa"/>
          </w:tcPr>
          <w:p w:rsidR="00685411" w:rsidRDefault="00685411">
            <w:pPr>
              <w:pStyle w:val="BodyText"/>
              <w:tabs>
                <w:tab w:val="left" w:pos="7056"/>
                <w:tab w:val="left" w:pos="8496"/>
              </w:tabs>
              <w:jc w:val="right"/>
              <w:rPr>
                <w:sz w:val="20"/>
              </w:rPr>
            </w:pPr>
          </w:p>
        </w:tc>
        <w:tc>
          <w:tcPr>
            <w:tcW w:w="1474" w:type="dxa"/>
          </w:tcPr>
          <w:p w:rsidR="00685411" w:rsidRDefault="001405FF">
            <w:pPr>
              <w:pStyle w:val="BodyText"/>
              <w:tabs>
                <w:tab w:val="left" w:pos="7056"/>
                <w:tab w:val="left" w:pos="8496"/>
              </w:tabs>
              <w:ind w:left="101" w:right="0" w:hanging="101"/>
              <w:jc w:val="right"/>
              <w:rPr>
                <w:rFonts w:cs="Arial"/>
                <w:sz w:val="20"/>
              </w:rPr>
            </w:pPr>
            <w:r>
              <w:rPr>
                <w:rFonts w:cs="Arial"/>
                <w:sz w:val="20"/>
              </w:rPr>
              <w:t>283</w:t>
            </w:r>
          </w:p>
        </w:tc>
      </w:tr>
      <w:tr w:rsidR="00685411">
        <w:tc>
          <w:tcPr>
            <w:tcW w:w="2988" w:type="dxa"/>
          </w:tcPr>
          <w:p w:rsidR="00685411" w:rsidRDefault="001405FF">
            <w:pPr>
              <w:pStyle w:val="BodyText"/>
              <w:tabs>
                <w:tab w:val="left" w:pos="7056"/>
                <w:tab w:val="left" w:pos="8496"/>
              </w:tabs>
              <w:ind w:left="180" w:hanging="180"/>
              <w:rPr>
                <w:sz w:val="18"/>
              </w:rPr>
            </w:pPr>
            <w:r>
              <w:rPr>
                <w:sz w:val="18"/>
              </w:rPr>
              <w:t>Consolidated companies share</w:t>
            </w:r>
          </w:p>
          <w:p w:rsidR="00685411" w:rsidRDefault="001405FF">
            <w:pPr>
              <w:pStyle w:val="BodyText"/>
              <w:tabs>
                <w:tab w:val="left" w:pos="7056"/>
                <w:tab w:val="left" w:pos="8496"/>
              </w:tabs>
              <w:ind w:left="180" w:hanging="180"/>
              <w:rPr>
                <w:sz w:val="18"/>
              </w:rPr>
            </w:pPr>
            <w:r>
              <w:rPr>
                <w:sz w:val="18"/>
              </w:rPr>
              <w:t xml:space="preserve">     in the shareholders’ equity</w:t>
            </w:r>
          </w:p>
        </w:tc>
        <w:tc>
          <w:tcPr>
            <w:tcW w:w="360" w:type="dxa"/>
          </w:tcPr>
          <w:p w:rsidR="00685411" w:rsidRDefault="001405FF">
            <w:pPr>
              <w:pStyle w:val="BodyText"/>
              <w:tabs>
                <w:tab w:val="left" w:pos="7056"/>
                <w:tab w:val="left" w:pos="8496"/>
              </w:tabs>
              <w:rPr>
                <w:sz w:val="18"/>
              </w:rPr>
            </w:pPr>
            <w:r>
              <w:rPr>
                <w:sz w:val="18"/>
              </w:rPr>
              <w:t>:</w:t>
            </w:r>
          </w:p>
        </w:tc>
        <w:tc>
          <w:tcPr>
            <w:tcW w:w="432" w:type="dxa"/>
          </w:tcPr>
          <w:p w:rsidR="00685411" w:rsidRDefault="00685411">
            <w:pPr>
              <w:pStyle w:val="BodyText"/>
              <w:tabs>
                <w:tab w:val="left" w:pos="7056"/>
                <w:tab w:val="left" w:pos="8496"/>
              </w:tabs>
              <w:ind w:left="101" w:right="0" w:hanging="101"/>
              <w:jc w:val="right"/>
              <w:rPr>
                <w:sz w:val="18"/>
              </w:rPr>
            </w:pPr>
          </w:p>
        </w:tc>
        <w:tc>
          <w:tcPr>
            <w:tcW w:w="236" w:type="dxa"/>
          </w:tcPr>
          <w:p w:rsidR="00685411" w:rsidRDefault="00685411">
            <w:pPr>
              <w:pStyle w:val="BodyText"/>
              <w:tabs>
                <w:tab w:val="left" w:pos="7056"/>
                <w:tab w:val="left" w:pos="8496"/>
              </w:tabs>
              <w:jc w:val="right"/>
              <w:rPr>
                <w:sz w:val="18"/>
              </w:rPr>
            </w:pPr>
          </w:p>
        </w:tc>
        <w:tc>
          <w:tcPr>
            <w:tcW w:w="1474" w:type="dxa"/>
          </w:tcPr>
          <w:p w:rsidR="00685411" w:rsidRDefault="00685411">
            <w:pPr>
              <w:pStyle w:val="ABLOCKPARA10"/>
              <w:tabs>
                <w:tab w:val="left" w:pos="864"/>
                <w:tab w:val="left" w:pos="1584"/>
                <w:tab w:val="left" w:pos="7056"/>
                <w:tab w:val="left" w:pos="8496"/>
              </w:tabs>
              <w:ind w:left="101" w:hanging="101"/>
              <w:jc w:val="right"/>
              <w:rPr>
                <w:rFonts w:ascii="Arial" w:hAnsi="Arial" w:cs="Arial"/>
              </w:rPr>
            </w:pPr>
          </w:p>
          <w:p w:rsidR="00685411" w:rsidRDefault="001405FF">
            <w:pPr>
              <w:pStyle w:val="ABLOCKPARA10"/>
              <w:tabs>
                <w:tab w:val="left" w:pos="864"/>
                <w:tab w:val="left" w:pos="1584"/>
                <w:tab w:val="left" w:pos="7056"/>
                <w:tab w:val="left" w:pos="8496"/>
              </w:tabs>
              <w:ind w:left="101" w:hanging="101"/>
              <w:jc w:val="right"/>
              <w:rPr>
                <w:rFonts w:ascii="Arial" w:hAnsi="Arial" w:cs="Arial"/>
              </w:rPr>
            </w:pPr>
            <w:r>
              <w:rPr>
                <w:rFonts w:ascii="Arial" w:hAnsi="Arial" w:cs="Arial"/>
              </w:rPr>
              <w:t>449</w:t>
            </w:r>
          </w:p>
        </w:tc>
        <w:tc>
          <w:tcPr>
            <w:tcW w:w="236" w:type="dxa"/>
          </w:tcPr>
          <w:p w:rsidR="00685411" w:rsidRDefault="00685411">
            <w:pPr>
              <w:pStyle w:val="ABLOCKPARA10"/>
              <w:tabs>
                <w:tab w:val="left" w:pos="864"/>
                <w:tab w:val="left" w:pos="1584"/>
                <w:tab w:val="left" w:pos="7056"/>
                <w:tab w:val="left" w:pos="8496"/>
              </w:tabs>
              <w:jc w:val="right"/>
            </w:pPr>
          </w:p>
        </w:tc>
        <w:tc>
          <w:tcPr>
            <w:tcW w:w="1474" w:type="dxa"/>
          </w:tcPr>
          <w:p w:rsidR="00685411" w:rsidRDefault="00685411">
            <w:pPr>
              <w:pStyle w:val="ABLOCKPARA10"/>
              <w:tabs>
                <w:tab w:val="left" w:pos="864"/>
                <w:tab w:val="left" w:pos="1584"/>
                <w:tab w:val="left" w:pos="7056"/>
                <w:tab w:val="left" w:pos="8496"/>
              </w:tabs>
              <w:ind w:left="101" w:hanging="101"/>
              <w:jc w:val="right"/>
              <w:rPr>
                <w:rFonts w:ascii="Arial" w:hAnsi="Arial" w:cs="Arial"/>
              </w:rPr>
            </w:pPr>
          </w:p>
          <w:p w:rsidR="00685411" w:rsidRDefault="001405FF">
            <w:pPr>
              <w:pStyle w:val="ABLOCKPARA10"/>
              <w:tabs>
                <w:tab w:val="left" w:pos="864"/>
                <w:tab w:val="left" w:pos="1584"/>
                <w:tab w:val="left" w:pos="7056"/>
                <w:tab w:val="left" w:pos="8496"/>
              </w:tabs>
              <w:ind w:left="101" w:hanging="101"/>
              <w:jc w:val="right"/>
              <w:rPr>
                <w:rFonts w:ascii="Arial" w:hAnsi="Arial" w:cs="Arial"/>
              </w:rPr>
            </w:pPr>
            <w:r>
              <w:rPr>
                <w:rFonts w:ascii="Arial" w:hAnsi="Arial" w:cs="Arial"/>
              </w:rPr>
              <w:t>-</w:t>
            </w:r>
          </w:p>
        </w:tc>
      </w:tr>
      <w:tr w:rsidR="00685411">
        <w:tc>
          <w:tcPr>
            <w:tcW w:w="2988" w:type="dxa"/>
          </w:tcPr>
          <w:p w:rsidR="00685411" w:rsidRDefault="001405FF">
            <w:pPr>
              <w:pStyle w:val="BodyText"/>
              <w:tabs>
                <w:tab w:val="left" w:pos="7056"/>
                <w:tab w:val="left" w:pos="8496"/>
              </w:tabs>
              <w:ind w:left="180" w:hanging="180"/>
              <w:rPr>
                <w:sz w:val="18"/>
              </w:rPr>
            </w:pPr>
            <w:r>
              <w:rPr>
                <w:sz w:val="18"/>
              </w:rPr>
              <w:t>Interest income</w:t>
            </w:r>
          </w:p>
        </w:tc>
        <w:tc>
          <w:tcPr>
            <w:tcW w:w="360" w:type="dxa"/>
          </w:tcPr>
          <w:p w:rsidR="00685411" w:rsidRDefault="001405FF">
            <w:pPr>
              <w:pStyle w:val="BodyText"/>
              <w:tabs>
                <w:tab w:val="left" w:pos="7056"/>
                <w:tab w:val="left" w:pos="8496"/>
              </w:tabs>
              <w:rPr>
                <w:sz w:val="18"/>
              </w:rPr>
            </w:pPr>
            <w:r>
              <w:rPr>
                <w:sz w:val="18"/>
              </w:rPr>
              <w:t>:</w:t>
            </w:r>
          </w:p>
        </w:tc>
        <w:tc>
          <w:tcPr>
            <w:tcW w:w="432" w:type="dxa"/>
          </w:tcPr>
          <w:p w:rsidR="00685411" w:rsidRDefault="00685411">
            <w:pPr>
              <w:pStyle w:val="BodyText"/>
              <w:tabs>
                <w:tab w:val="left" w:pos="7056"/>
                <w:tab w:val="left" w:pos="8496"/>
              </w:tabs>
              <w:ind w:left="101" w:right="0" w:hanging="101"/>
              <w:jc w:val="right"/>
              <w:rPr>
                <w:sz w:val="18"/>
              </w:rPr>
            </w:pPr>
          </w:p>
        </w:tc>
        <w:tc>
          <w:tcPr>
            <w:tcW w:w="236" w:type="dxa"/>
          </w:tcPr>
          <w:p w:rsidR="00685411" w:rsidRDefault="00685411">
            <w:pPr>
              <w:pStyle w:val="BodyText"/>
              <w:tabs>
                <w:tab w:val="left" w:pos="7056"/>
                <w:tab w:val="left" w:pos="8496"/>
              </w:tabs>
              <w:jc w:val="right"/>
              <w:rPr>
                <w:sz w:val="18"/>
              </w:rPr>
            </w:pPr>
          </w:p>
        </w:tc>
        <w:tc>
          <w:tcPr>
            <w:tcW w:w="1474" w:type="dxa"/>
          </w:tcPr>
          <w:p w:rsidR="00685411" w:rsidRDefault="001405FF">
            <w:pPr>
              <w:pStyle w:val="ABLOCKPARA10"/>
              <w:tabs>
                <w:tab w:val="left" w:pos="864"/>
                <w:tab w:val="left" w:pos="1584"/>
                <w:tab w:val="left" w:pos="7056"/>
                <w:tab w:val="left" w:pos="8496"/>
              </w:tabs>
              <w:ind w:left="101" w:hanging="101"/>
              <w:jc w:val="right"/>
              <w:rPr>
                <w:rFonts w:ascii="Arial" w:hAnsi="Arial" w:cs="Arial"/>
              </w:rPr>
            </w:pPr>
            <w:r>
              <w:rPr>
                <w:rFonts w:ascii="Arial" w:hAnsi="Arial" w:cs="Arial"/>
              </w:rPr>
              <w:t>132</w:t>
            </w:r>
          </w:p>
        </w:tc>
        <w:tc>
          <w:tcPr>
            <w:tcW w:w="236" w:type="dxa"/>
          </w:tcPr>
          <w:p w:rsidR="00685411" w:rsidRDefault="00685411">
            <w:pPr>
              <w:pStyle w:val="ABLOCKPARA10"/>
              <w:tabs>
                <w:tab w:val="left" w:pos="864"/>
                <w:tab w:val="left" w:pos="1584"/>
                <w:tab w:val="left" w:pos="7056"/>
                <w:tab w:val="left" w:pos="8496"/>
              </w:tabs>
              <w:jc w:val="right"/>
            </w:pPr>
          </w:p>
        </w:tc>
        <w:tc>
          <w:tcPr>
            <w:tcW w:w="1474" w:type="dxa"/>
          </w:tcPr>
          <w:p w:rsidR="00685411" w:rsidRDefault="001405FF">
            <w:pPr>
              <w:pStyle w:val="ABLOCKPARA10"/>
              <w:tabs>
                <w:tab w:val="left" w:pos="864"/>
                <w:tab w:val="left" w:pos="1584"/>
                <w:tab w:val="left" w:pos="7056"/>
                <w:tab w:val="left" w:pos="8496"/>
              </w:tabs>
              <w:ind w:left="101" w:hanging="101"/>
              <w:jc w:val="right"/>
              <w:rPr>
                <w:rFonts w:ascii="Arial" w:hAnsi="Arial" w:cs="Arial"/>
              </w:rPr>
            </w:pPr>
            <w:r>
              <w:rPr>
                <w:rFonts w:ascii="Arial" w:hAnsi="Arial" w:cs="Arial"/>
              </w:rPr>
              <w:t>-</w:t>
            </w:r>
          </w:p>
        </w:tc>
      </w:tr>
      <w:tr w:rsidR="00685411">
        <w:tc>
          <w:tcPr>
            <w:tcW w:w="2988" w:type="dxa"/>
          </w:tcPr>
          <w:p w:rsidR="00685411" w:rsidRDefault="001405FF">
            <w:pPr>
              <w:pStyle w:val="BodyText"/>
              <w:tabs>
                <w:tab w:val="left" w:pos="7056"/>
                <w:tab w:val="left" w:pos="8496"/>
              </w:tabs>
              <w:ind w:left="180" w:hanging="180"/>
              <w:rPr>
                <w:sz w:val="18"/>
              </w:rPr>
            </w:pPr>
            <w:r>
              <w:rPr>
                <w:sz w:val="18"/>
              </w:rPr>
              <w:t xml:space="preserve">Marketable security </w:t>
            </w:r>
            <w:r>
              <w:rPr>
                <w:sz w:val="18"/>
              </w:rPr>
              <w:t>income/</w:t>
            </w:r>
          </w:p>
          <w:p w:rsidR="00685411" w:rsidRDefault="001405FF">
            <w:pPr>
              <w:pStyle w:val="BodyText"/>
              <w:tabs>
                <w:tab w:val="left" w:pos="7056"/>
                <w:tab w:val="left" w:pos="8496"/>
              </w:tabs>
              <w:ind w:left="180" w:hanging="180"/>
              <w:rPr>
                <w:sz w:val="18"/>
              </w:rPr>
            </w:pPr>
            <w:r>
              <w:rPr>
                <w:sz w:val="18"/>
              </w:rPr>
              <w:t xml:space="preserve">     /(expense)</w:t>
            </w:r>
          </w:p>
        </w:tc>
        <w:tc>
          <w:tcPr>
            <w:tcW w:w="360" w:type="dxa"/>
          </w:tcPr>
          <w:p w:rsidR="00685411" w:rsidRDefault="001405FF">
            <w:pPr>
              <w:pStyle w:val="BodyText"/>
              <w:tabs>
                <w:tab w:val="left" w:pos="7056"/>
                <w:tab w:val="left" w:pos="8496"/>
              </w:tabs>
              <w:rPr>
                <w:sz w:val="18"/>
              </w:rPr>
            </w:pPr>
            <w:r>
              <w:rPr>
                <w:sz w:val="18"/>
              </w:rPr>
              <w:t>:</w:t>
            </w:r>
          </w:p>
        </w:tc>
        <w:tc>
          <w:tcPr>
            <w:tcW w:w="432" w:type="dxa"/>
          </w:tcPr>
          <w:p w:rsidR="00685411" w:rsidRDefault="00685411">
            <w:pPr>
              <w:pStyle w:val="BodyText"/>
              <w:tabs>
                <w:tab w:val="left" w:pos="7056"/>
                <w:tab w:val="left" w:pos="8496"/>
              </w:tabs>
              <w:ind w:left="101" w:right="0" w:hanging="101"/>
              <w:jc w:val="right"/>
              <w:rPr>
                <w:sz w:val="18"/>
              </w:rPr>
            </w:pPr>
          </w:p>
        </w:tc>
        <w:tc>
          <w:tcPr>
            <w:tcW w:w="236" w:type="dxa"/>
          </w:tcPr>
          <w:p w:rsidR="00685411" w:rsidRDefault="00685411">
            <w:pPr>
              <w:pStyle w:val="BodyText"/>
              <w:tabs>
                <w:tab w:val="left" w:pos="7056"/>
                <w:tab w:val="left" w:pos="8496"/>
              </w:tabs>
              <w:jc w:val="right"/>
              <w:rPr>
                <w:sz w:val="18"/>
              </w:rPr>
            </w:pPr>
          </w:p>
        </w:tc>
        <w:tc>
          <w:tcPr>
            <w:tcW w:w="1474" w:type="dxa"/>
          </w:tcPr>
          <w:p w:rsidR="00685411" w:rsidRDefault="00685411">
            <w:pPr>
              <w:pStyle w:val="ABLOCKPARA10"/>
              <w:tabs>
                <w:tab w:val="left" w:pos="864"/>
                <w:tab w:val="left" w:pos="1584"/>
                <w:tab w:val="left" w:pos="7056"/>
                <w:tab w:val="left" w:pos="8496"/>
              </w:tabs>
              <w:ind w:left="101" w:hanging="101"/>
              <w:jc w:val="right"/>
              <w:rPr>
                <w:rFonts w:ascii="Arial" w:hAnsi="Arial" w:cs="Arial"/>
                <w:lang w:val="de-DE"/>
              </w:rPr>
            </w:pPr>
          </w:p>
          <w:p w:rsidR="00685411" w:rsidRDefault="001405FF">
            <w:pPr>
              <w:pStyle w:val="ABLOCKPARA10"/>
              <w:tabs>
                <w:tab w:val="left" w:pos="864"/>
                <w:tab w:val="left" w:pos="1584"/>
                <w:tab w:val="left" w:pos="7056"/>
                <w:tab w:val="left" w:pos="8496"/>
              </w:tabs>
              <w:ind w:left="101" w:hanging="101"/>
              <w:jc w:val="right"/>
              <w:rPr>
                <w:rFonts w:ascii="Arial" w:hAnsi="Arial" w:cs="Arial"/>
                <w:lang w:val="de-DE"/>
              </w:rPr>
            </w:pPr>
            <w:r>
              <w:rPr>
                <w:rFonts w:ascii="Arial" w:hAnsi="Arial" w:cs="Arial"/>
                <w:lang w:val="de-DE"/>
              </w:rPr>
              <w:t>181</w:t>
            </w:r>
          </w:p>
        </w:tc>
        <w:tc>
          <w:tcPr>
            <w:tcW w:w="236" w:type="dxa"/>
          </w:tcPr>
          <w:p w:rsidR="00685411" w:rsidRDefault="00685411">
            <w:pPr>
              <w:pStyle w:val="ABLOCKPARA10"/>
              <w:tabs>
                <w:tab w:val="left" w:pos="864"/>
                <w:tab w:val="left" w:pos="1584"/>
                <w:tab w:val="left" w:pos="7056"/>
                <w:tab w:val="left" w:pos="8496"/>
              </w:tabs>
              <w:jc w:val="right"/>
              <w:rPr>
                <w:lang w:val="de-DE"/>
              </w:rPr>
            </w:pPr>
          </w:p>
        </w:tc>
        <w:tc>
          <w:tcPr>
            <w:tcW w:w="1474" w:type="dxa"/>
          </w:tcPr>
          <w:p w:rsidR="00685411" w:rsidRDefault="00685411">
            <w:pPr>
              <w:pStyle w:val="ABLOCKPARA10"/>
              <w:tabs>
                <w:tab w:val="left" w:pos="864"/>
                <w:tab w:val="left" w:pos="1584"/>
                <w:tab w:val="left" w:pos="7056"/>
                <w:tab w:val="left" w:pos="8496"/>
              </w:tabs>
              <w:ind w:left="101" w:hanging="101"/>
              <w:jc w:val="right"/>
              <w:rPr>
                <w:rFonts w:ascii="Arial" w:hAnsi="Arial" w:cs="Arial"/>
                <w:lang w:val="de-DE"/>
              </w:rPr>
            </w:pPr>
          </w:p>
          <w:p w:rsidR="00685411" w:rsidRDefault="001405FF">
            <w:pPr>
              <w:pStyle w:val="ABLOCKPARA10"/>
              <w:tabs>
                <w:tab w:val="left" w:pos="864"/>
                <w:tab w:val="left" w:pos="1584"/>
                <w:tab w:val="left" w:pos="7056"/>
                <w:tab w:val="left" w:pos="8496"/>
              </w:tabs>
              <w:ind w:left="101" w:hanging="101"/>
              <w:jc w:val="right"/>
              <w:rPr>
                <w:rFonts w:ascii="Arial" w:hAnsi="Arial" w:cs="Arial"/>
                <w:lang w:val="de-DE"/>
              </w:rPr>
            </w:pPr>
            <w:r>
              <w:rPr>
                <w:rFonts w:ascii="Arial" w:hAnsi="Arial" w:cs="Arial"/>
                <w:lang w:val="de-DE"/>
              </w:rPr>
              <w:t>-</w:t>
            </w:r>
          </w:p>
        </w:tc>
      </w:tr>
      <w:tr w:rsidR="00685411">
        <w:tc>
          <w:tcPr>
            <w:tcW w:w="2988" w:type="dxa"/>
          </w:tcPr>
          <w:p w:rsidR="00685411" w:rsidRDefault="001405FF">
            <w:pPr>
              <w:pStyle w:val="BodyText"/>
              <w:tabs>
                <w:tab w:val="left" w:pos="7056"/>
                <w:tab w:val="left" w:pos="8496"/>
              </w:tabs>
              <w:ind w:left="180" w:hanging="180"/>
              <w:rPr>
                <w:sz w:val="18"/>
              </w:rPr>
            </w:pPr>
            <w:r>
              <w:rPr>
                <w:sz w:val="18"/>
              </w:rPr>
              <w:t>Current year income/(loss)</w:t>
            </w:r>
          </w:p>
        </w:tc>
        <w:tc>
          <w:tcPr>
            <w:tcW w:w="360" w:type="dxa"/>
          </w:tcPr>
          <w:p w:rsidR="00685411" w:rsidRDefault="001405FF">
            <w:pPr>
              <w:pStyle w:val="BodyText"/>
              <w:tabs>
                <w:tab w:val="left" w:pos="7056"/>
                <w:tab w:val="left" w:pos="8496"/>
              </w:tabs>
              <w:rPr>
                <w:sz w:val="18"/>
              </w:rPr>
            </w:pPr>
            <w:r>
              <w:rPr>
                <w:sz w:val="18"/>
              </w:rPr>
              <w:t>:</w:t>
            </w:r>
          </w:p>
        </w:tc>
        <w:tc>
          <w:tcPr>
            <w:tcW w:w="432" w:type="dxa"/>
          </w:tcPr>
          <w:p w:rsidR="00685411" w:rsidRDefault="00685411">
            <w:pPr>
              <w:pStyle w:val="BodyText"/>
              <w:tabs>
                <w:tab w:val="left" w:pos="7056"/>
                <w:tab w:val="left" w:pos="8496"/>
              </w:tabs>
              <w:ind w:left="101" w:right="0" w:hanging="101"/>
              <w:jc w:val="right"/>
              <w:rPr>
                <w:sz w:val="18"/>
              </w:rPr>
            </w:pPr>
          </w:p>
        </w:tc>
        <w:tc>
          <w:tcPr>
            <w:tcW w:w="236" w:type="dxa"/>
          </w:tcPr>
          <w:p w:rsidR="00685411" w:rsidRDefault="00685411">
            <w:pPr>
              <w:pStyle w:val="BodyText"/>
              <w:tabs>
                <w:tab w:val="left" w:pos="7056"/>
                <w:tab w:val="left" w:pos="8496"/>
              </w:tabs>
              <w:jc w:val="right"/>
              <w:rPr>
                <w:sz w:val="18"/>
              </w:rPr>
            </w:pPr>
          </w:p>
        </w:tc>
        <w:tc>
          <w:tcPr>
            <w:tcW w:w="1474" w:type="dxa"/>
          </w:tcPr>
          <w:p w:rsidR="00685411" w:rsidRDefault="001405FF">
            <w:pPr>
              <w:pStyle w:val="ABLOCKPARA10"/>
              <w:tabs>
                <w:tab w:val="left" w:pos="864"/>
                <w:tab w:val="left" w:pos="1584"/>
                <w:tab w:val="left" w:pos="7056"/>
                <w:tab w:val="left" w:pos="8496"/>
              </w:tabs>
              <w:ind w:left="101" w:hanging="101"/>
              <w:jc w:val="right"/>
              <w:rPr>
                <w:rFonts w:ascii="Arial" w:hAnsi="Arial" w:cs="Arial"/>
                <w:lang w:val="de-DE"/>
              </w:rPr>
            </w:pPr>
            <w:r>
              <w:rPr>
                <w:rFonts w:ascii="Arial" w:hAnsi="Arial" w:cs="Arial"/>
                <w:lang w:val="de-DE"/>
              </w:rPr>
              <w:t>4</w:t>
            </w:r>
          </w:p>
        </w:tc>
        <w:tc>
          <w:tcPr>
            <w:tcW w:w="236" w:type="dxa"/>
          </w:tcPr>
          <w:p w:rsidR="00685411" w:rsidRDefault="00685411">
            <w:pPr>
              <w:pStyle w:val="ABLOCKPARA10"/>
              <w:tabs>
                <w:tab w:val="left" w:pos="864"/>
                <w:tab w:val="left" w:pos="1584"/>
                <w:tab w:val="left" w:pos="7056"/>
                <w:tab w:val="left" w:pos="8496"/>
              </w:tabs>
              <w:jc w:val="right"/>
              <w:rPr>
                <w:lang w:val="de-DE"/>
              </w:rPr>
            </w:pPr>
          </w:p>
        </w:tc>
        <w:tc>
          <w:tcPr>
            <w:tcW w:w="1474" w:type="dxa"/>
          </w:tcPr>
          <w:p w:rsidR="00685411" w:rsidRDefault="001405FF">
            <w:pPr>
              <w:pStyle w:val="ABLOCKPARA10"/>
              <w:tabs>
                <w:tab w:val="left" w:pos="864"/>
                <w:tab w:val="left" w:pos="1584"/>
                <w:tab w:val="left" w:pos="7056"/>
                <w:tab w:val="left" w:pos="8496"/>
              </w:tabs>
              <w:ind w:left="101" w:hanging="101"/>
              <w:jc w:val="right"/>
              <w:rPr>
                <w:rFonts w:ascii="Arial" w:hAnsi="Arial" w:cs="Arial"/>
                <w:lang w:val="de-DE"/>
              </w:rPr>
            </w:pPr>
            <w:r>
              <w:rPr>
                <w:rFonts w:ascii="Arial" w:hAnsi="Arial" w:cs="Arial"/>
                <w:lang w:val="de-DE"/>
              </w:rPr>
              <w:t>52</w:t>
            </w:r>
          </w:p>
        </w:tc>
      </w:tr>
      <w:tr w:rsidR="00685411">
        <w:tc>
          <w:tcPr>
            <w:tcW w:w="2988" w:type="dxa"/>
          </w:tcPr>
          <w:p w:rsidR="00685411" w:rsidRDefault="001405FF">
            <w:pPr>
              <w:pStyle w:val="BodyText"/>
              <w:tabs>
                <w:tab w:val="left" w:pos="7056"/>
                <w:tab w:val="left" w:pos="8496"/>
              </w:tabs>
              <w:ind w:left="180" w:hanging="180"/>
              <w:rPr>
                <w:sz w:val="18"/>
              </w:rPr>
            </w:pPr>
            <w:r>
              <w:rPr>
                <w:sz w:val="18"/>
              </w:rPr>
              <w:t>Prior period income/(loss)</w:t>
            </w:r>
          </w:p>
        </w:tc>
        <w:tc>
          <w:tcPr>
            <w:tcW w:w="360" w:type="dxa"/>
          </w:tcPr>
          <w:p w:rsidR="00685411" w:rsidRDefault="001405FF">
            <w:pPr>
              <w:pStyle w:val="BodyText"/>
              <w:tabs>
                <w:tab w:val="left" w:pos="7056"/>
                <w:tab w:val="left" w:pos="8496"/>
              </w:tabs>
              <w:rPr>
                <w:sz w:val="18"/>
              </w:rPr>
            </w:pPr>
            <w:r>
              <w:rPr>
                <w:sz w:val="18"/>
              </w:rPr>
              <w:t>:</w:t>
            </w:r>
          </w:p>
        </w:tc>
        <w:tc>
          <w:tcPr>
            <w:tcW w:w="432" w:type="dxa"/>
          </w:tcPr>
          <w:p w:rsidR="00685411" w:rsidRDefault="00685411">
            <w:pPr>
              <w:pStyle w:val="BodyText"/>
              <w:tabs>
                <w:tab w:val="left" w:pos="7056"/>
                <w:tab w:val="left" w:pos="8496"/>
              </w:tabs>
              <w:ind w:left="101" w:right="0" w:hanging="101"/>
              <w:jc w:val="right"/>
              <w:rPr>
                <w:sz w:val="18"/>
              </w:rPr>
            </w:pPr>
          </w:p>
        </w:tc>
        <w:tc>
          <w:tcPr>
            <w:tcW w:w="236" w:type="dxa"/>
          </w:tcPr>
          <w:p w:rsidR="00685411" w:rsidRDefault="00685411">
            <w:pPr>
              <w:pStyle w:val="BodyText"/>
              <w:tabs>
                <w:tab w:val="left" w:pos="7056"/>
                <w:tab w:val="left" w:pos="8496"/>
              </w:tabs>
              <w:jc w:val="right"/>
              <w:rPr>
                <w:sz w:val="18"/>
              </w:rPr>
            </w:pPr>
          </w:p>
        </w:tc>
        <w:tc>
          <w:tcPr>
            <w:tcW w:w="1474" w:type="dxa"/>
          </w:tcPr>
          <w:p w:rsidR="00685411" w:rsidRDefault="001405FF">
            <w:pPr>
              <w:pStyle w:val="ABLOCKPARA10"/>
              <w:tabs>
                <w:tab w:val="left" w:pos="864"/>
                <w:tab w:val="left" w:pos="1584"/>
                <w:tab w:val="left" w:pos="7056"/>
                <w:tab w:val="left" w:pos="8496"/>
              </w:tabs>
              <w:ind w:left="101" w:hanging="101"/>
              <w:jc w:val="right"/>
              <w:rPr>
                <w:rFonts w:ascii="Arial" w:hAnsi="Arial" w:cs="Arial"/>
              </w:rPr>
            </w:pPr>
            <w:r>
              <w:rPr>
                <w:rFonts w:ascii="Arial" w:hAnsi="Arial" w:cs="Arial"/>
              </w:rPr>
              <w:t>762</w:t>
            </w:r>
          </w:p>
        </w:tc>
        <w:tc>
          <w:tcPr>
            <w:tcW w:w="236" w:type="dxa"/>
          </w:tcPr>
          <w:p w:rsidR="00685411" w:rsidRDefault="00685411">
            <w:pPr>
              <w:pStyle w:val="ABLOCKPARA10"/>
              <w:tabs>
                <w:tab w:val="left" w:pos="864"/>
                <w:tab w:val="left" w:pos="1584"/>
                <w:tab w:val="left" w:pos="7056"/>
                <w:tab w:val="left" w:pos="8496"/>
              </w:tabs>
              <w:jc w:val="right"/>
            </w:pPr>
          </w:p>
        </w:tc>
        <w:tc>
          <w:tcPr>
            <w:tcW w:w="1474" w:type="dxa"/>
          </w:tcPr>
          <w:p w:rsidR="00685411" w:rsidRDefault="001405FF">
            <w:pPr>
              <w:pStyle w:val="ABLOCKPARA10"/>
              <w:tabs>
                <w:tab w:val="left" w:pos="864"/>
                <w:tab w:val="left" w:pos="1584"/>
                <w:tab w:val="left" w:pos="7056"/>
                <w:tab w:val="left" w:pos="8496"/>
              </w:tabs>
              <w:ind w:left="101" w:hanging="101"/>
              <w:jc w:val="right"/>
              <w:rPr>
                <w:rFonts w:ascii="Arial" w:hAnsi="Arial" w:cs="Arial"/>
              </w:rPr>
            </w:pPr>
            <w:r>
              <w:rPr>
                <w:rFonts w:ascii="Arial" w:hAnsi="Arial" w:cs="Arial"/>
              </w:rPr>
              <w:t>131</w:t>
            </w:r>
          </w:p>
        </w:tc>
      </w:tr>
      <w:tr w:rsidR="00685411">
        <w:tc>
          <w:tcPr>
            <w:tcW w:w="2988" w:type="dxa"/>
          </w:tcPr>
          <w:p w:rsidR="00685411" w:rsidRDefault="001405FF">
            <w:pPr>
              <w:pStyle w:val="BodyText"/>
              <w:tabs>
                <w:tab w:val="left" w:pos="7056"/>
                <w:tab w:val="left" w:pos="8496"/>
              </w:tabs>
              <w:ind w:left="180" w:hanging="180"/>
              <w:rPr>
                <w:sz w:val="18"/>
              </w:rPr>
            </w:pPr>
            <w:r>
              <w:rPr>
                <w:sz w:val="18"/>
              </w:rPr>
              <w:t>Fixed asset total</w:t>
            </w:r>
          </w:p>
        </w:tc>
        <w:tc>
          <w:tcPr>
            <w:tcW w:w="360" w:type="dxa"/>
          </w:tcPr>
          <w:p w:rsidR="00685411" w:rsidRDefault="001405FF">
            <w:pPr>
              <w:pStyle w:val="BodyText"/>
              <w:tabs>
                <w:tab w:val="left" w:pos="7056"/>
                <w:tab w:val="left" w:pos="8496"/>
              </w:tabs>
              <w:rPr>
                <w:sz w:val="18"/>
              </w:rPr>
            </w:pPr>
            <w:r>
              <w:rPr>
                <w:sz w:val="18"/>
              </w:rPr>
              <w:t>:</w:t>
            </w:r>
          </w:p>
        </w:tc>
        <w:tc>
          <w:tcPr>
            <w:tcW w:w="432" w:type="dxa"/>
          </w:tcPr>
          <w:p w:rsidR="00685411" w:rsidRDefault="00685411">
            <w:pPr>
              <w:pStyle w:val="BodyText"/>
              <w:tabs>
                <w:tab w:val="left" w:pos="7056"/>
                <w:tab w:val="left" w:pos="8496"/>
              </w:tabs>
              <w:ind w:left="101" w:right="0" w:hanging="101"/>
              <w:jc w:val="right"/>
              <w:rPr>
                <w:sz w:val="18"/>
              </w:rPr>
            </w:pPr>
          </w:p>
        </w:tc>
        <w:tc>
          <w:tcPr>
            <w:tcW w:w="236" w:type="dxa"/>
          </w:tcPr>
          <w:p w:rsidR="00685411" w:rsidRDefault="00685411">
            <w:pPr>
              <w:pStyle w:val="BodyText"/>
              <w:tabs>
                <w:tab w:val="left" w:pos="7056"/>
                <w:tab w:val="left" w:pos="8496"/>
              </w:tabs>
              <w:jc w:val="right"/>
              <w:rPr>
                <w:sz w:val="18"/>
              </w:rPr>
            </w:pPr>
          </w:p>
        </w:tc>
        <w:tc>
          <w:tcPr>
            <w:tcW w:w="1474" w:type="dxa"/>
          </w:tcPr>
          <w:p w:rsidR="00685411" w:rsidRDefault="001405FF">
            <w:pPr>
              <w:pStyle w:val="ABLOCKPARA10"/>
              <w:tabs>
                <w:tab w:val="left" w:pos="864"/>
                <w:tab w:val="left" w:pos="1584"/>
                <w:tab w:val="left" w:pos="7056"/>
                <w:tab w:val="left" w:pos="8496"/>
              </w:tabs>
              <w:ind w:left="101" w:hanging="101"/>
              <w:jc w:val="right"/>
              <w:rPr>
                <w:rFonts w:ascii="Arial" w:hAnsi="Arial" w:cs="Arial"/>
              </w:rPr>
            </w:pPr>
            <w:r>
              <w:rPr>
                <w:rFonts w:ascii="Arial" w:hAnsi="Arial" w:cs="Arial"/>
              </w:rPr>
              <w:t>5</w:t>
            </w:r>
          </w:p>
        </w:tc>
        <w:tc>
          <w:tcPr>
            <w:tcW w:w="236" w:type="dxa"/>
          </w:tcPr>
          <w:p w:rsidR="00685411" w:rsidRDefault="00685411">
            <w:pPr>
              <w:pStyle w:val="ABLOCKPARA10"/>
              <w:tabs>
                <w:tab w:val="left" w:pos="864"/>
                <w:tab w:val="left" w:pos="1584"/>
                <w:tab w:val="left" w:pos="7056"/>
                <w:tab w:val="left" w:pos="8496"/>
              </w:tabs>
              <w:jc w:val="right"/>
            </w:pPr>
          </w:p>
        </w:tc>
        <w:tc>
          <w:tcPr>
            <w:tcW w:w="1474" w:type="dxa"/>
          </w:tcPr>
          <w:p w:rsidR="00685411" w:rsidRDefault="001405FF">
            <w:pPr>
              <w:pStyle w:val="ABLOCKPARA10"/>
              <w:tabs>
                <w:tab w:val="left" w:pos="864"/>
                <w:tab w:val="left" w:pos="1584"/>
                <w:tab w:val="left" w:pos="7056"/>
                <w:tab w:val="left" w:pos="8496"/>
              </w:tabs>
              <w:ind w:left="101" w:hanging="101"/>
              <w:jc w:val="right"/>
              <w:rPr>
                <w:rFonts w:ascii="Arial" w:hAnsi="Arial" w:cs="Arial"/>
              </w:rPr>
            </w:pPr>
            <w:r>
              <w:rPr>
                <w:rFonts w:ascii="Arial" w:hAnsi="Arial" w:cs="Arial"/>
              </w:rPr>
              <w:t>27</w:t>
            </w:r>
          </w:p>
        </w:tc>
      </w:tr>
      <w:tr w:rsidR="00685411">
        <w:tc>
          <w:tcPr>
            <w:tcW w:w="2988" w:type="dxa"/>
          </w:tcPr>
          <w:p w:rsidR="00685411" w:rsidRDefault="001405FF">
            <w:pPr>
              <w:pStyle w:val="BodyText"/>
              <w:tabs>
                <w:tab w:val="left" w:pos="7056"/>
                <w:tab w:val="left" w:pos="8496"/>
              </w:tabs>
              <w:ind w:left="180" w:hanging="180"/>
              <w:rPr>
                <w:sz w:val="18"/>
              </w:rPr>
            </w:pPr>
            <w:r>
              <w:rPr>
                <w:sz w:val="18"/>
              </w:rPr>
              <w:t>Number of personnel</w:t>
            </w:r>
          </w:p>
        </w:tc>
        <w:tc>
          <w:tcPr>
            <w:tcW w:w="360" w:type="dxa"/>
          </w:tcPr>
          <w:p w:rsidR="00685411" w:rsidRDefault="001405FF">
            <w:pPr>
              <w:pStyle w:val="BodyText"/>
              <w:tabs>
                <w:tab w:val="left" w:pos="7056"/>
                <w:tab w:val="left" w:pos="8496"/>
              </w:tabs>
              <w:rPr>
                <w:sz w:val="18"/>
              </w:rPr>
            </w:pPr>
            <w:r>
              <w:rPr>
                <w:sz w:val="18"/>
              </w:rPr>
              <w:t>:</w:t>
            </w:r>
          </w:p>
        </w:tc>
        <w:tc>
          <w:tcPr>
            <w:tcW w:w="432" w:type="dxa"/>
          </w:tcPr>
          <w:p w:rsidR="00685411" w:rsidRDefault="00685411">
            <w:pPr>
              <w:pStyle w:val="BodyText"/>
              <w:tabs>
                <w:tab w:val="left" w:pos="7056"/>
                <w:tab w:val="left" w:pos="8496"/>
              </w:tabs>
              <w:ind w:left="101" w:right="0" w:hanging="101"/>
              <w:jc w:val="right"/>
              <w:rPr>
                <w:sz w:val="18"/>
              </w:rPr>
            </w:pPr>
          </w:p>
        </w:tc>
        <w:tc>
          <w:tcPr>
            <w:tcW w:w="236" w:type="dxa"/>
          </w:tcPr>
          <w:p w:rsidR="00685411" w:rsidRDefault="00685411">
            <w:pPr>
              <w:pStyle w:val="BodyText"/>
              <w:tabs>
                <w:tab w:val="left" w:pos="7056"/>
                <w:tab w:val="left" w:pos="8496"/>
              </w:tabs>
              <w:jc w:val="right"/>
              <w:rPr>
                <w:sz w:val="18"/>
              </w:rPr>
            </w:pPr>
          </w:p>
        </w:tc>
        <w:tc>
          <w:tcPr>
            <w:tcW w:w="1474" w:type="dxa"/>
          </w:tcPr>
          <w:p w:rsidR="00685411" w:rsidRDefault="001405FF">
            <w:pPr>
              <w:pStyle w:val="ABLOCKPARA10"/>
              <w:tabs>
                <w:tab w:val="left" w:pos="864"/>
                <w:tab w:val="left" w:pos="1584"/>
                <w:tab w:val="left" w:pos="7056"/>
                <w:tab w:val="left" w:pos="8496"/>
              </w:tabs>
              <w:ind w:left="101" w:hanging="101"/>
              <w:jc w:val="right"/>
              <w:rPr>
                <w:rFonts w:ascii="Arial" w:hAnsi="Arial" w:cs="Arial"/>
              </w:rPr>
            </w:pPr>
            <w:r>
              <w:rPr>
                <w:rFonts w:ascii="Arial" w:hAnsi="Arial" w:cs="Arial"/>
              </w:rPr>
              <w:t>3</w:t>
            </w:r>
          </w:p>
        </w:tc>
        <w:tc>
          <w:tcPr>
            <w:tcW w:w="236" w:type="dxa"/>
          </w:tcPr>
          <w:p w:rsidR="00685411" w:rsidRDefault="00685411">
            <w:pPr>
              <w:pStyle w:val="ABLOCKPARA10"/>
              <w:tabs>
                <w:tab w:val="left" w:pos="864"/>
                <w:tab w:val="left" w:pos="1584"/>
                <w:tab w:val="left" w:pos="7056"/>
                <w:tab w:val="left" w:pos="8496"/>
              </w:tabs>
              <w:jc w:val="right"/>
            </w:pPr>
          </w:p>
        </w:tc>
        <w:tc>
          <w:tcPr>
            <w:tcW w:w="1474" w:type="dxa"/>
          </w:tcPr>
          <w:p w:rsidR="00685411" w:rsidRDefault="001405FF">
            <w:pPr>
              <w:pStyle w:val="ABLOCKPARA10"/>
              <w:tabs>
                <w:tab w:val="left" w:pos="864"/>
                <w:tab w:val="left" w:pos="1584"/>
                <w:tab w:val="left" w:pos="7056"/>
                <w:tab w:val="left" w:pos="8496"/>
              </w:tabs>
              <w:ind w:left="101" w:hanging="101"/>
              <w:jc w:val="right"/>
              <w:rPr>
                <w:rFonts w:ascii="Arial" w:hAnsi="Arial" w:cs="Arial"/>
              </w:rPr>
            </w:pPr>
            <w:r>
              <w:rPr>
                <w:rFonts w:ascii="Arial" w:hAnsi="Arial" w:cs="Arial"/>
              </w:rPr>
              <w:t>3</w:t>
            </w:r>
          </w:p>
        </w:tc>
      </w:tr>
    </w:tbl>
    <w:p w:rsidR="00685411" w:rsidRDefault="00685411">
      <w:pPr>
        <w:rPr>
          <w:sz w:val="18"/>
        </w:rPr>
      </w:pPr>
    </w:p>
    <w:tbl>
      <w:tblPr>
        <w:tblW w:w="0" w:type="auto"/>
        <w:tblInd w:w="108" w:type="dxa"/>
        <w:tblLayout w:type="fixed"/>
        <w:tblLook w:val="0000" w:firstRow="0" w:lastRow="0" w:firstColumn="0" w:lastColumn="0" w:noHBand="0" w:noVBand="0"/>
      </w:tblPr>
      <w:tblGrid>
        <w:gridCol w:w="2988"/>
        <w:gridCol w:w="342"/>
        <w:gridCol w:w="4140"/>
      </w:tblGrid>
      <w:tr w:rsidR="00685411">
        <w:trPr>
          <w:cantSplit/>
        </w:trPr>
        <w:tc>
          <w:tcPr>
            <w:tcW w:w="2988" w:type="dxa"/>
          </w:tcPr>
          <w:p w:rsidR="00685411" w:rsidRDefault="001405FF">
            <w:pPr>
              <w:pStyle w:val="BodyText"/>
              <w:tabs>
                <w:tab w:val="left" w:pos="7056"/>
                <w:tab w:val="left" w:pos="8496"/>
              </w:tabs>
              <w:ind w:left="180" w:hanging="180"/>
              <w:rPr>
                <w:sz w:val="18"/>
              </w:rPr>
            </w:pPr>
            <w:r>
              <w:rPr>
                <w:sz w:val="18"/>
              </w:rPr>
              <w:t>Reason for not consolidating:</w:t>
            </w:r>
          </w:p>
        </w:tc>
        <w:tc>
          <w:tcPr>
            <w:tcW w:w="342" w:type="dxa"/>
          </w:tcPr>
          <w:p w:rsidR="00685411" w:rsidRDefault="001405FF">
            <w:pPr>
              <w:pStyle w:val="BodyText"/>
              <w:tabs>
                <w:tab w:val="left" w:pos="7056"/>
                <w:tab w:val="left" w:pos="8496"/>
              </w:tabs>
              <w:rPr>
                <w:sz w:val="18"/>
              </w:rPr>
            </w:pPr>
            <w:r>
              <w:rPr>
                <w:sz w:val="18"/>
              </w:rPr>
              <w:t>:</w:t>
            </w:r>
          </w:p>
        </w:tc>
        <w:tc>
          <w:tcPr>
            <w:tcW w:w="4140" w:type="dxa"/>
          </w:tcPr>
          <w:p w:rsidR="00685411" w:rsidRDefault="001405FF">
            <w:pPr>
              <w:pStyle w:val="BodyText"/>
              <w:tabs>
                <w:tab w:val="left" w:pos="7056"/>
                <w:tab w:val="left" w:pos="8496"/>
              </w:tabs>
              <w:ind w:left="196" w:hanging="196"/>
              <w:rPr>
                <w:sz w:val="18"/>
              </w:rPr>
            </w:pPr>
            <w:r>
              <w:rPr>
                <w:sz w:val="18"/>
              </w:rPr>
              <w:t xml:space="preserve">The asset total of the Company is less than 1% </w:t>
            </w:r>
            <w:r>
              <w:rPr>
                <w:sz w:val="18"/>
              </w:rPr>
              <w:t>of the asset total of the Parent</w:t>
            </w:r>
          </w:p>
        </w:tc>
      </w:tr>
    </w:tbl>
    <w:p w:rsidR="00685411" w:rsidRDefault="00685411">
      <w:pPr>
        <w:tabs>
          <w:tab w:val="left" w:pos="864"/>
          <w:tab w:val="left" w:pos="1584"/>
          <w:tab w:val="left" w:pos="7056"/>
          <w:tab w:val="left" w:pos="8496"/>
        </w:tabs>
        <w:ind w:right="14"/>
      </w:pPr>
    </w:p>
    <w:p w:rsidR="00685411" w:rsidRDefault="001405FF">
      <w:pPr>
        <w:tabs>
          <w:tab w:val="left" w:pos="864"/>
          <w:tab w:val="left" w:pos="1584"/>
          <w:tab w:val="left" w:pos="7056"/>
          <w:tab w:val="left" w:pos="8496"/>
        </w:tabs>
        <w:ind w:right="14"/>
        <w:rPr>
          <w:sz w:val="20"/>
        </w:rPr>
      </w:pPr>
      <w:r>
        <w:rPr>
          <w:sz w:val="20"/>
        </w:rPr>
        <w:t>(*)</w:t>
      </w:r>
      <w:r>
        <w:rPr>
          <w:b/>
          <w:sz w:val="20"/>
        </w:rPr>
        <w:t xml:space="preserve"> </w:t>
      </w:r>
      <w:r>
        <w:rPr>
          <w:sz w:val="20"/>
        </w:rPr>
        <w:t>Representing statutory historical amounts.</w:t>
      </w:r>
    </w:p>
    <w:p w:rsidR="00685411" w:rsidRDefault="00685411">
      <w:pPr>
        <w:tabs>
          <w:tab w:val="left" w:pos="864"/>
          <w:tab w:val="left" w:pos="1584"/>
          <w:tab w:val="left" w:pos="7056"/>
          <w:tab w:val="left" w:pos="8496"/>
        </w:tabs>
        <w:ind w:right="14"/>
        <w:rPr>
          <w:b/>
        </w:rPr>
      </w:pPr>
    </w:p>
    <w:p w:rsidR="00685411" w:rsidRDefault="001405FF">
      <w:pPr>
        <w:tabs>
          <w:tab w:val="left" w:pos="864"/>
          <w:tab w:val="left" w:pos="2160"/>
          <w:tab w:val="left" w:pos="8280"/>
        </w:tabs>
        <w:ind w:right="14"/>
        <w:rPr>
          <w:b/>
        </w:rPr>
      </w:pPr>
      <w:r>
        <w:rPr>
          <w:b/>
        </w:rPr>
        <w:t xml:space="preserve">(4)  CONSOLIDATED SUBSIDIARIES, PARTICIPATIONS OR AFFILIATES WHICH ARE BANKRUPT OR LIQUIDATED OR WHICH HAVE THEIR </w:t>
      </w:r>
      <w:r>
        <w:rPr>
          <w:b/>
          <w:u w:val="single"/>
        </w:rPr>
        <w:t>HEADQUARTERS ABROAD</w:t>
      </w:r>
      <w:r>
        <w:rPr>
          <w:b/>
          <w:u w:val="single"/>
        </w:rPr>
        <w:tab/>
      </w:r>
      <w:r>
        <w:rPr>
          <w:b/>
        </w:rPr>
        <w:t>:</w:t>
      </w:r>
    </w:p>
    <w:p w:rsidR="00685411" w:rsidRDefault="00685411">
      <w:pPr>
        <w:tabs>
          <w:tab w:val="left" w:pos="864"/>
          <w:tab w:val="left" w:pos="2160"/>
          <w:tab w:val="left" w:pos="8280"/>
        </w:tabs>
        <w:ind w:right="14"/>
      </w:pPr>
    </w:p>
    <w:p w:rsidR="00685411" w:rsidRDefault="001405FF">
      <w:pPr>
        <w:pStyle w:val="BodyText"/>
        <w:ind w:right="14"/>
        <w:jc w:val="both"/>
      </w:pPr>
      <w:r>
        <w:t xml:space="preserve">As of September 30, 2002 there are no consolidated subsidiaries, participations or affiliates, which are bankrupt or liquidated. </w:t>
      </w:r>
    </w:p>
    <w:p w:rsidR="00685411" w:rsidRDefault="00685411">
      <w:pPr>
        <w:pStyle w:val="BodyText"/>
        <w:ind w:right="14"/>
        <w:jc w:val="both"/>
      </w:pPr>
    </w:p>
    <w:p w:rsidR="00685411" w:rsidRDefault="001405FF">
      <w:pPr>
        <w:pStyle w:val="BodyText"/>
        <w:ind w:right="14"/>
        <w:jc w:val="both"/>
      </w:pPr>
      <w:r>
        <w:t>Information related to the subsidiaries that have their headquarters abroad namely              The Economy Bank N.V. and Pet</w:t>
      </w:r>
      <w:r>
        <w:t>ek International Holdings B.V. are provided in Note 1.</w:t>
      </w:r>
    </w:p>
    <w:p w:rsidR="00685411" w:rsidRDefault="00685411">
      <w:pPr>
        <w:pStyle w:val="BodyText"/>
        <w:ind w:right="14"/>
        <w:jc w:val="center"/>
      </w:pPr>
    </w:p>
    <w:p w:rsidR="00685411" w:rsidRDefault="001405FF">
      <w:pPr>
        <w:tabs>
          <w:tab w:val="left" w:pos="864"/>
          <w:tab w:val="left" w:pos="2160"/>
          <w:tab w:val="left" w:pos="8280"/>
        </w:tabs>
        <w:ind w:right="14"/>
        <w:rPr>
          <w:b/>
          <w:u w:val="single"/>
        </w:rPr>
      </w:pPr>
      <w:r>
        <w:rPr>
          <w:b/>
        </w:rPr>
        <w:t xml:space="preserve">(5)  FINANCIAL SUBSIDIARY OR PARTICIPATION UNDER FINANCIAL ASSISTANCE OR RESTRUCTURING WHICH THE BANK OWNS FULLY OR IS A </w:t>
      </w:r>
      <w:r>
        <w:rPr>
          <w:b/>
          <w:u w:val="single"/>
        </w:rPr>
        <w:t>SHAREHOLDER TOGETHER WITH OTHER GROUP COMPANIES OR OTHERS :</w:t>
      </w:r>
    </w:p>
    <w:p w:rsidR="00685411" w:rsidRDefault="00685411">
      <w:pPr>
        <w:tabs>
          <w:tab w:val="left" w:pos="864"/>
          <w:tab w:val="left" w:pos="2160"/>
          <w:tab w:val="left" w:pos="8280"/>
        </w:tabs>
        <w:ind w:right="14"/>
      </w:pPr>
    </w:p>
    <w:p w:rsidR="00685411" w:rsidRDefault="001405FF">
      <w:pPr>
        <w:tabs>
          <w:tab w:val="left" w:pos="864"/>
          <w:tab w:val="left" w:pos="2160"/>
          <w:tab w:val="left" w:pos="8280"/>
        </w:tabs>
        <w:ind w:right="14"/>
      </w:pPr>
      <w:r>
        <w:t>None.</w:t>
      </w:r>
    </w:p>
    <w:p w:rsidR="00685411" w:rsidRDefault="001405FF">
      <w:pPr>
        <w:pStyle w:val="BodyText"/>
        <w:ind w:right="14"/>
        <w:jc w:val="center"/>
      </w:pPr>
      <w:r>
        <w:br w:type="page"/>
        <w:t>-4-</w:t>
      </w:r>
    </w:p>
    <w:p w:rsidR="00685411" w:rsidRDefault="001405FF">
      <w:pPr>
        <w:tabs>
          <w:tab w:val="left" w:pos="576"/>
          <w:tab w:val="left" w:pos="864"/>
          <w:tab w:val="left" w:pos="1584"/>
          <w:tab w:val="left" w:pos="2016"/>
          <w:tab w:val="left" w:pos="4032"/>
        </w:tabs>
        <w:ind w:right="14"/>
        <w:jc w:val="center"/>
      </w:pPr>
      <w:r>
        <w:t xml:space="preserve"> (CONVE</w:t>
      </w:r>
      <w:r>
        <w:t>NIENCE TRANSLATION OF A REPORT AND FINANCIAL STATEMENTS ORIGINALLY ISSUED IN TURKISH – SEE NOTE 9)</w:t>
      </w:r>
    </w:p>
    <w:p w:rsidR="00685411" w:rsidRDefault="00685411">
      <w:pPr>
        <w:tabs>
          <w:tab w:val="left" w:pos="864"/>
          <w:tab w:val="left" w:pos="2160"/>
          <w:tab w:val="left" w:pos="8280"/>
        </w:tabs>
        <w:ind w:right="14"/>
      </w:pPr>
    </w:p>
    <w:p w:rsidR="00685411" w:rsidRDefault="001405FF">
      <w:pPr>
        <w:tabs>
          <w:tab w:val="left" w:pos="864"/>
          <w:tab w:val="left" w:pos="2160"/>
          <w:tab w:val="left" w:pos="8280"/>
        </w:tabs>
        <w:ind w:right="-158"/>
        <w:rPr>
          <w:b/>
          <w:u w:val="single"/>
        </w:rPr>
      </w:pPr>
      <w:r>
        <w:rPr>
          <w:b/>
        </w:rPr>
        <w:t xml:space="preserve">(6)  THE RATIO OF ASSETS AND LIABILITIES OF SUBSIDIARIES’ EXCLUDED FROM CONSOLIDATION TO THE ASSETS AND LIABILITIES IN THE </w:t>
      </w:r>
      <w:r>
        <w:rPr>
          <w:b/>
          <w:u w:val="single"/>
        </w:rPr>
        <w:t xml:space="preserve">CONSOLIDATED BALANCE SHEET       </w:t>
      </w:r>
      <w:r>
        <w:rPr>
          <w:b/>
          <w:u w:val="single"/>
        </w:rPr>
        <w:t xml:space="preserve">  </w:t>
      </w:r>
      <w:r>
        <w:rPr>
          <w:b/>
          <w:u w:val="single"/>
        </w:rPr>
        <w:tab/>
        <w:t xml:space="preserve"> :</w:t>
      </w:r>
    </w:p>
    <w:p w:rsidR="00685411" w:rsidRDefault="00685411"/>
    <w:tbl>
      <w:tblPr>
        <w:tblW w:w="9884" w:type="dxa"/>
        <w:tblInd w:w="18" w:type="dxa"/>
        <w:tblLayout w:type="fixed"/>
        <w:tblLook w:val="0000" w:firstRow="0" w:lastRow="0" w:firstColumn="0" w:lastColumn="0" w:noHBand="0" w:noVBand="0"/>
      </w:tblPr>
      <w:tblGrid>
        <w:gridCol w:w="3060"/>
        <w:gridCol w:w="1404"/>
        <w:gridCol w:w="20"/>
        <w:gridCol w:w="250"/>
        <w:gridCol w:w="20"/>
        <w:gridCol w:w="1688"/>
        <w:gridCol w:w="22"/>
        <w:gridCol w:w="245"/>
        <w:gridCol w:w="24"/>
        <w:gridCol w:w="1224"/>
        <w:gridCol w:w="37"/>
        <w:gridCol w:w="250"/>
        <w:gridCol w:w="20"/>
        <w:gridCol w:w="1600"/>
        <w:gridCol w:w="20"/>
      </w:tblGrid>
      <w:tr w:rsidR="00685411">
        <w:tc>
          <w:tcPr>
            <w:tcW w:w="3060" w:type="dxa"/>
          </w:tcPr>
          <w:p w:rsidR="00685411" w:rsidRDefault="00685411">
            <w:pPr>
              <w:jc w:val="center"/>
            </w:pPr>
          </w:p>
        </w:tc>
        <w:tc>
          <w:tcPr>
            <w:tcW w:w="1424" w:type="dxa"/>
            <w:gridSpan w:val="2"/>
            <w:tcBorders>
              <w:bottom w:val="single" w:sz="4" w:space="0" w:color="auto"/>
            </w:tcBorders>
          </w:tcPr>
          <w:p w:rsidR="00685411" w:rsidRDefault="00685411">
            <w:pPr>
              <w:jc w:val="center"/>
            </w:pPr>
          </w:p>
          <w:p w:rsidR="00685411" w:rsidRDefault="00685411">
            <w:pPr>
              <w:jc w:val="center"/>
            </w:pPr>
          </w:p>
          <w:p w:rsidR="00685411" w:rsidRDefault="00685411">
            <w:pPr>
              <w:jc w:val="center"/>
            </w:pPr>
          </w:p>
          <w:p w:rsidR="00685411" w:rsidRDefault="001405FF">
            <w:pPr>
              <w:jc w:val="center"/>
            </w:pPr>
            <w:r>
              <w:t>Receivables</w:t>
            </w:r>
          </w:p>
        </w:tc>
        <w:tc>
          <w:tcPr>
            <w:tcW w:w="270" w:type="dxa"/>
            <w:gridSpan w:val="2"/>
          </w:tcPr>
          <w:p w:rsidR="00685411" w:rsidRDefault="00685411">
            <w:pPr>
              <w:jc w:val="center"/>
            </w:pPr>
          </w:p>
        </w:tc>
        <w:tc>
          <w:tcPr>
            <w:tcW w:w="1710" w:type="dxa"/>
            <w:gridSpan w:val="2"/>
            <w:tcBorders>
              <w:bottom w:val="single" w:sz="4" w:space="0" w:color="auto"/>
            </w:tcBorders>
          </w:tcPr>
          <w:p w:rsidR="00685411" w:rsidRDefault="001405FF">
            <w:pPr>
              <w:jc w:val="center"/>
            </w:pPr>
            <w:r>
              <w:t xml:space="preserve">Percentage of </w:t>
            </w:r>
          </w:p>
          <w:p w:rsidR="00685411" w:rsidRDefault="001405FF">
            <w:pPr>
              <w:jc w:val="center"/>
            </w:pPr>
            <w:r>
              <w:t>Consolidated</w:t>
            </w:r>
          </w:p>
          <w:p w:rsidR="00685411" w:rsidRDefault="001405FF">
            <w:pPr>
              <w:jc w:val="center"/>
            </w:pPr>
            <w:r>
              <w:t>Receivables</w:t>
            </w:r>
          </w:p>
          <w:p w:rsidR="00685411" w:rsidRDefault="001405FF">
            <w:pPr>
              <w:jc w:val="center"/>
            </w:pPr>
            <w:r>
              <w:t>(%)</w:t>
            </w:r>
          </w:p>
        </w:tc>
        <w:tc>
          <w:tcPr>
            <w:tcW w:w="269" w:type="dxa"/>
            <w:gridSpan w:val="2"/>
          </w:tcPr>
          <w:p w:rsidR="00685411" w:rsidRDefault="00685411">
            <w:pPr>
              <w:jc w:val="center"/>
            </w:pPr>
          </w:p>
        </w:tc>
        <w:tc>
          <w:tcPr>
            <w:tcW w:w="1261" w:type="dxa"/>
            <w:gridSpan w:val="2"/>
            <w:tcBorders>
              <w:bottom w:val="single" w:sz="4" w:space="0" w:color="auto"/>
            </w:tcBorders>
          </w:tcPr>
          <w:p w:rsidR="00685411" w:rsidRDefault="00685411">
            <w:pPr>
              <w:jc w:val="center"/>
            </w:pPr>
          </w:p>
          <w:p w:rsidR="00685411" w:rsidRDefault="00685411">
            <w:pPr>
              <w:jc w:val="center"/>
            </w:pPr>
          </w:p>
          <w:p w:rsidR="00685411" w:rsidRDefault="00685411">
            <w:pPr>
              <w:jc w:val="center"/>
            </w:pPr>
          </w:p>
          <w:p w:rsidR="00685411" w:rsidRDefault="001405FF">
            <w:pPr>
              <w:jc w:val="center"/>
            </w:pPr>
            <w:r>
              <w:t>Payables</w:t>
            </w:r>
          </w:p>
        </w:tc>
        <w:tc>
          <w:tcPr>
            <w:tcW w:w="270" w:type="dxa"/>
            <w:gridSpan w:val="2"/>
          </w:tcPr>
          <w:p w:rsidR="00685411" w:rsidRDefault="00685411">
            <w:pPr>
              <w:jc w:val="center"/>
            </w:pPr>
          </w:p>
        </w:tc>
        <w:tc>
          <w:tcPr>
            <w:tcW w:w="1620" w:type="dxa"/>
            <w:gridSpan w:val="2"/>
            <w:tcBorders>
              <w:bottom w:val="single" w:sz="4" w:space="0" w:color="auto"/>
            </w:tcBorders>
          </w:tcPr>
          <w:p w:rsidR="00685411" w:rsidRDefault="001405FF">
            <w:pPr>
              <w:jc w:val="center"/>
            </w:pPr>
            <w:r>
              <w:t>Percentage of Consolidated</w:t>
            </w:r>
          </w:p>
          <w:p w:rsidR="00685411" w:rsidRDefault="001405FF">
            <w:pPr>
              <w:jc w:val="center"/>
            </w:pPr>
            <w:r>
              <w:t xml:space="preserve">Payables </w:t>
            </w:r>
          </w:p>
          <w:p w:rsidR="00685411" w:rsidRDefault="001405FF">
            <w:pPr>
              <w:jc w:val="center"/>
            </w:pPr>
            <w:r>
              <w:t>(%)</w:t>
            </w:r>
          </w:p>
        </w:tc>
      </w:tr>
      <w:tr w:rsidR="00685411">
        <w:trPr>
          <w:gridAfter w:val="1"/>
          <w:wAfter w:w="20" w:type="dxa"/>
          <w:trHeight w:val="20"/>
        </w:trPr>
        <w:tc>
          <w:tcPr>
            <w:tcW w:w="3060" w:type="dxa"/>
            <w:vAlign w:val="bottom"/>
          </w:tcPr>
          <w:p w:rsidR="00685411" w:rsidRDefault="001405FF">
            <w:pPr>
              <w:rPr>
                <w:b/>
                <w:u w:val="single"/>
              </w:rPr>
            </w:pPr>
            <w:r>
              <w:rPr>
                <w:b/>
                <w:u w:val="single"/>
              </w:rPr>
              <w:t>September 30, 2002:</w:t>
            </w:r>
          </w:p>
        </w:tc>
        <w:tc>
          <w:tcPr>
            <w:tcW w:w="1404" w:type="dxa"/>
            <w:vAlign w:val="bottom"/>
          </w:tcPr>
          <w:p w:rsidR="00685411" w:rsidRDefault="00685411">
            <w:pPr>
              <w:ind w:left="-252" w:firstLine="252"/>
            </w:pPr>
          </w:p>
        </w:tc>
        <w:tc>
          <w:tcPr>
            <w:tcW w:w="270" w:type="dxa"/>
            <w:gridSpan w:val="2"/>
            <w:vAlign w:val="bottom"/>
          </w:tcPr>
          <w:p w:rsidR="00685411" w:rsidRDefault="00685411"/>
        </w:tc>
        <w:tc>
          <w:tcPr>
            <w:tcW w:w="1708" w:type="dxa"/>
            <w:gridSpan w:val="2"/>
            <w:vAlign w:val="bottom"/>
          </w:tcPr>
          <w:p w:rsidR="00685411" w:rsidRDefault="00685411"/>
        </w:tc>
        <w:tc>
          <w:tcPr>
            <w:tcW w:w="267" w:type="dxa"/>
            <w:gridSpan w:val="2"/>
            <w:vAlign w:val="bottom"/>
          </w:tcPr>
          <w:p w:rsidR="00685411" w:rsidRDefault="00685411"/>
        </w:tc>
        <w:tc>
          <w:tcPr>
            <w:tcW w:w="1248" w:type="dxa"/>
            <w:gridSpan w:val="2"/>
            <w:vAlign w:val="bottom"/>
          </w:tcPr>
          <w:p w:rsidR="00685411" w:rsidRDefault="00685411"/>
        </w:tc>
        <w:tc>
          <w:tcPr>
            <w:tcW w:w="287" w:type="dxa"/>
            <w:gridSpan w:val="2"/>
            <w:vAlign w:val="bottom"/>
          </w:tcPr>
          <w:p w:rsidR="00685411" w:rsidRDefault="00685411"/>
        </w:tc>
        <w:tc>
          <w:tcPr>
            <w:tcW w:w="1620" w:type="dxa"/>
            <w:gridSpan w:val="2"/>
            <w:vAlign w:val="bottom"/>
          </w:tcPr>
          <w:p w:rsidR="00685411" w:rsidRDefault="00685411"/>
        </w:tc>
      </w:tr>
      <w:tr w:rsidR="00685411">
        <w:trPr>
          <w:gridAfter w:val="1"/>
          <w:wAfter w:w="20" w:type="dxa"/>
          <w:trHeight w:val="20"/>
        </w:trPr>
        <w:tc>
          <w:tcPr>
            <w:tcW w:w="3060" w:type="dxa"/>
            <w:vAlign w:val="bottom"/>
          </w:tcPr>
          <w:p w:rsidR="00685411" w:rsidRDefault="001405FF">
            <w:r>
              <w:t>Consolidated Balance Sheet</w:t>
            </w:r>
          </w:p>
        </w:tc>
        <w:tc>
          <w:tcPr>
            <w:tcW w:w="1404" w:type="dxa"/>
            <w:vAlign w:val="bottom"/>
          </w:tcPr>
          <w:p w:rsidR="00685411" w:rsidRDefault="001405FF">
            <w:pPr>
              <w:jc w:val="right"/>
              <w:rPr>
                <w:lang w:val="de-DE"/>
              </w:rPr>
            </w:pPr>
            <w:r>
              <w:rPr>
                <w:lang w:val="de-DE"/>
              </w:rPr>
              <w:t>3,073,707</w:t>
            </w:r>
          </w:p>
        </w:tc>
        <w:tc>
          <w:tcPr>
            <w:tcW w:w="270" w:type="dxa"/>
            <w:gridSpan w:val="2"/>
            <w:vAlign w:val="bottom"/>
          </w:tcPr>
          <w:p w:rsidR="00685411" w:rsidRDefault="00685411">
            <w:pPr>
              <w:jc w:val="right"/>
              <w:rPr>
                <w:lang w:val="de-DE"/>
              </w:rPr>
            </w:pPr>
          </w:p>
        </w:tc>
        <w:tc>
          <w:tcPr>
            <w:tcW w:w="1708" w:type="dxa"/>
            <w:gridSpan w:val="2"/>
            <w:vAlign w:val="bottom"/>
          </w:tcPr>
          <w:p w:rsidR="00685411" w:rsidRDefault="001405FF">
            <w:pPr>
              <w:jc w:val="right"/>
              <w:rPr>
                <w:lang w:val="de-DE"/>
              </w:rPr>
            </w:pPr>
            <w:r>
              <w:rPr>
                <w:lang w:val="de-DE"/>
              </w:rPr>
              <w:t>100.00</w:t>
            </w:r>
          </w:p>
        </w:tc>
        <w:tc>
          <w:tcPr>
            <w:tcW w:w="267" w:type="dxa"/>
            <w:gridSpan w:val="2"/>
            <w:vAlign w:val="bottom"/>
          </w:tcPr>
          <w:p w:rsidR="00685411" w:rsidRDefault="00685411">
            <w:pPr>
              <w:jc w:val="right"/>
              <w:rPr>
                <w:lang w:val="de-DE"/>
              </w:rPr>
            </w:pPr>
          </w:p>
        </w:tc>
        <w:tc>
          <w:tcPr>
            <w:tcW w:w="1248" w:type="dxa"/>
            <w:gridSpan w:val="2"/>
            <w:vAlign w:val="bottom"/>
          </w:tcPr>
          <w:p w:rsidR="00685411" w:rsidRDefault="001405FF">
            <w:pPr>
              <w:jc w:val="right"/>
              <w:rPr>
                <w:lang w:val="de-DE"/>
              </w:rPr>
            </w:pPr>
            <w:r>
              <w:rPr>
                <w:lang w:val="de-DE"/>
              </w:rPr>
              <w:t>3,057,088</w:t>
            </w:r>
          </w:p>
        </w:tc>
        <w:tc>
          <w:tcPr>
            <w:tcW w:w="287" w:type="dxa"/>
            <w:gridSpan w:val="2"/>
            <w:vAlign w:val="bottom"/>
          </w:tcPr>
          <w:p w:rsidR="00685411" w:rsidRDefault="00685411">
            <w:pPr>
              <w:jc w:val="right"/>
              <w:rPr>
                <w:lang w:val="de-DE"/>
              </w:rPr>
            </w:pPr>
          </w:p>
        </w:tc>
        <w:tc>
          <w:tcPr>
            <w:tcW w:w="1620" w:type="dxa"/>
            <w:gridSpan w:val="2"/>
            <w:vAlign w:val="bottom"/>
          </w:tcPr>
          <w:p w:rsidR="00685411" w:rsidRDefault="001405FF">
            <w:pPr>
              <w:jc w:val="right"/>
              <w:rPr>
                <w:lang w:val="de-DE"/>
              </w:rPr>
            </w:pPr>
            <w:r>
              <w:rPr>
                <w:lang w:val="de-DE"/>
              </w:rPr>
              <w:t>100.00</w:t>
            </w:r>
          </w:p>
        </w:tc>
      </w:tr>
      <w:tr w:rsidR="00685411">
        <w:trPr>
          <w:gridAfter w:val="1"/>
          <w:wAfter w:w="20" w:type="dxa"/>
          <w:trHeight w:val="20"/>
        </w:trPr>
        <w:tc>
          <w:tcPr>
            <w:tcW w:w="3060" w:type="dxa"/>
            <w:vAlign w:val="bottom"/>
          </w:tcPr>
          <w:p w:rsidR="00685411" w:rsidRDefault="001405FF">
            <w:r>
              <w:t xml:space="preserve">Varlık Yatırım Ortaklığı A.Ş. </w:t>
            </w:r>
          </w:p>
        </w:tc>
        <w:tc>
          <w:tcPr>
            <w:tcW w:w="1404" w:type="dxa"/>
            <w:vAlign w:val="bottom"/>
          </w:tcPr>
          <w:p w:rsidR="00685411" w:rsidRDefault="001405FF">
            <w:pPr>
              <w:jc w:val="right"/>
              <w:rPr>
                <w:lang w:val="de-DE"/>
              </w:rPr>
            </w:pPr>
            <w:r>
              <w:rPr>
                <w:lang w:val="de-DE"/>
              </w:rPr>
              <w:t>-</w:t>
            </w:r>
          </w:p>
        </w:tc>
        <w:tc>
          <w:tcPr>
            <w:tcW w:w="270" w:type="dxa"/>
            <w:gridSpan w:val="2"/>
          </w:tcPr>
          <w:p w:rsidR="00685411" w:rsidRDefault="00685411">
            <w:pPr>
              <w:jc w:val="right"/>
              <w:rPr>
                <w:lang w:val="de-DE"/>
              </w:rPr>
            </w:pPr>
          </w:p>
        </w:tc>
        <w:tc>
          <w:tcPr>
            <w:tcW w:w="1708" w:type="dxa"/>
            <w:gridSpan w:val="2"/>
            <w:vAlign w:val="bottom"/>
          </w:tcPr>
          <w:p w:rsidR="00685411" w:rsidRDefault="001405FF">
            <w:pPr>
              <w:jc w:val="right"/>
              <w:rPr>
                <w:lang w:val="de-DE"/>
              </w:rPr>
            </w:pPr>
            <w:r>
              <w:rPr>
                <w:lang w:val="de-DE"/>
              </w:rPr>
              <w:t>-</w:t>
            </w:r>
          </w:p>
        </w:tc>
        <w:tc>
          <w:tcPr>
            <w:tcW w:w="267" w:type="dxa"/>
            <w:gridSpan w:val="2"/>
          </w:tcPr>
          <w:p w:rsidR="00685411" w:rsidRDefault="00685411">
            <w:pPr>
              <w:jc w:val="right"/>
              <w:rPr>
                <w:lang w:val="de-DE"/>
              </w:rPr>
            </w:pPr>
          </w:p>
        </w:tc>
        <w:tc>
          <w:tcPr>
            <w:tcW w:w="1248" w:type="dxa"/>
            <w:gridSpan w:val="2"/>
            <w:vAlign w:val="bottom"/>
          </w:tcPr>
          <w:p w:rsidR="00685411" w:rsidRDefault="001405FF">
            <w:pPr>
              <w:jc w:val="right"/>
              <w:rPr>
                <w:lang w:val="de-DE"/>
              </w:rPr>
            </w:pPr>
            <w:r>
              <w:rPr>
                <w:lang w:val="de-DE"/>
              </w:rPr>
              <w:t>10</w:t>
            </w:r>
          </w:p>
        </w:tc>
        <w:tc>
          <w:tcPr>
            <w:tcW w:w="287" w:type="dxa"/>
            <w:gridSpan w:val="2"/>
          </w:tcPr>
          <w:p w:rsidR="00685411" w:rsidRDefault="00685411">
            <w:pPr>
              <w:jc w:val="right"/>
              <w:rPr>
                <w:lang w:val="de-DE"/>
              </w:rPr>
            </w:pPr>
          </w:p>
        </w:tc>
        <w:tc>
          <w:tcPr>
            <w:tcW w:w="1620" w:type="dxa"/>
            <w:gridSpan w:val="2"/>
            <w:vAlign w:val="bottom"/>
          </w:tcPr>
          <w:p w:rsidR="00685411" w:rsidRDefault="001405FF">
            <w:pPr>
              <w:jc w:val="right"/>
              <w:rPr>
                <w:lang w:val="de-DE"/>
              </w:rPr>
            </w:pPr>
            <w:r>
              <w:rPr>
                <w:lang w:val="de-DE"/>
              </w:rPr>
              <w:t>0.0003</w:t>
            </w:r>
          </w:p>
        </w:tc>
      </w:tr>
      <w:tr w:rsidR="00685411">
        <w:trPr>
          <w:gridAfter w:val="1"/>
          <w:wAfter w:w="20" w:type="dxa"/>
          <w:trHeight w:val="20"/>
        </w:trPr>
        <w:tc>
          <w:tcPr>
            <w:tcW w:w="3060" w:type="dxa"/>
            <w:vAlign w:val="bottom"/>
          </w:tcPr>
          <w:p w:rsidR="00685411" w:rsidRDefault="001405FF">
            <w:pPr>
              <w:rPr>
                <w:lang w:val="de-DE"/>
              </w:rPr>
            </w:pPr>
            <w:r>
              <w:rPr>
                <w:lang w:val="de-DE"/>
              </w:rPr>
              <w:t>TEB Kıymetli Madenler A.Ş.</w:t>
            </w:r>
          </w:p>
        </w:tc>
        <w:tc>
          <w:tcPr>
            <w:tcW w:w="1404" w:type="dxa"/>
            <w:vAlign w:val="bottom"/>
          </w:tcPr>
          <w:p w:rsidR="00685411" w:rsidRDefault="001405FF">
            <w:pPr>
              <w:jc w:val="right"/>
            </w:pPr>
            <w:r>
              <w:t>-</w:t>
            </w:r>
          </w:p>
        </w:tc>
        <w:tc>
          <w:tcPr>
            <w:tcW w:w="270" w:type="dxa"/>
            <w:gridSpan w:val="2"/>
            <w:vAlign w:val="bottom"/>
          </w:tcPr>
          <w:p w:rsidR="00685411" w:rsidRDefault="00685411">
            <w:pPr>
              <w:jc w:val="right"/>
            </w:pPr>
          </w:p>
        </w:tc>
        <w:tc>
          <w:tcPr>
            <w:tcW w:w="1708" w:type="dxa"/>
            <w:gridSpan w:val="2"/>
            <w:vAlign w:val="bottom"/>
          </w:tcPr>
          <w:p w:rsidR="00685411" w:rsidRDefault="001405FF">
            <w:pPr>
              <w:jc w:val="right"/>
            </w:pPr>
            <w:r>
              <w:t>-</w:t>
            </w:r>
          </w:p>
        </w:tc>
        <w:tc>
          <w:tcPr>
            <w:tcW w:w="267" w:type="dxa"/>
            <w:gridSpan w:val="2"/>
            <w:vAlign w:val="bottom"/>
          </w:tcPr>
          <w:p w:rsidR="00685411" w:rsidRDefault="00685411">
            <w:pPr>
              <w:jc w:val="right"/>
            </w:pPr>
          </w:p>
        </w:tc>
        <w:tc>
          <w:tcPr>
            <w:tcW w:w="1248" w:type="dxa"/>
            <w:gridSpan w:val="2"/>
            <w:vAlign w:val="bottom"/>
          </w:tcPr>
          <w:p w:rsidR="00685411" w:rsidRDefault="001405FF">
            <w:pPr>
              <w:jc w:val="right"/>
            </w:pPr>
            <w:r>
              <w:t>-</w:t>
            </w:r>
          </w:p>
        </w:tc>
        <w:tc>
          <w:tcPr>
            <w:tcW w:w="287" w:type="dxa"/>
            <w:gridSpan w:val="2"/>
            <w:vAlign w:val="bottom"/>
          </w:tcPr>
          <w:p w:rsidR="00685411" w:rsidRDefault="00685411">
            <w:pPr>
              <w:jc w:val="right"/>
            </w:pPr>
          </w:p>
        </w:tc>
        <w:tc>
          <w:tcPr>
            <w:tcW w:w="1620" w:type="dxa"/>
            <w:gridSpan w:val="2"/>
            <w:vAlign w:val="bottom"/>
          </w:tcPr>
          <w:p w:rsidR="00685411" w:rsidRDefault="001405FF">
            <w:pPr>
              <w:jc w:val="right"/>
            </w:pPr>
            <w:r>
              <w:t>-</w:t>
            </w:r>
          </w:p>
        </w:tc>
      </w:tr>
    </w:tbl>
    <w:p w:rsidR="00685411" w:rsidRDefault="00685411">
      <w:pPr>
        <w:tabs>
          <w:tab w:val="left" w:pos="864"/>
          <w:tab w:val="left" w:pos="2160"/>
          <w:tab w:val="left" w:pos="8280"/>
        </w:tabs>
        <w:ind w:right="14"/>
      </w:pPr>
    </w:p>
    <w:p w:rsidR="00685411" w:rsidRDefault="001405FF">
      <w:pPr>
        <w:tabs>
          <w:tab w:val="left" w:pos="864"/>
          <w:tab w:val="left" w:pos="2160"/>
          <w:tab w:val="left" w:pos="8280"/>
        </w:tabs>
        <w:ind w:right="-158"/>
        <w:rPr>
          <w:b/>
          <w:u w:val="single"/>
        </w:rPr>
      </w:pPr>
      <w:r>
        <w:rPr>
          <w:b/>
        </w:rPr>
        <w:t>(7) SIGNIFICANT CONTINGENCIES AND COMMITMENTS FOR THE PURPOSE OF</w:t>
      </w:r>
      <w:r>
        <w:rPr>
          <w:b/>
          <w:u w:val="single"/>
        </w:rPr>
        <w:t xml:space="preserve"> CONSOLIDATED FINANCIAL STATEMENTS OF THE FINANCIAL INSTITUTIONS:</w:t>
      </w:r>
    </w:p>
    <w:p w:rsidR="00685411" w:rsidRDefault="00685411">
      <w:pPr>
        <w:tabs>
          <w:tab w:val="left" w:pos="864"/>
          <w:tab w:val="left" w:pos="2160"/>
          <w:tab w:val="left" w:pos="8280"/>
        </w:tabs>
        <w:ind w:right="14"/>
      </w:pPr>
    </w:p>
    <w:p w:rsidR="00685411" w:rsidRDefault="001405FF">
      <w:pPr>
        <w:pStyle w:val="BodyText"/>
        <w:tabs>
          <w:tab w:val="left" w:pos="3888"/>
          <w:tab w:val="left" w:pos="5328"/>
          <w:tab w:val="left" w:pos="6912"/>
          <w:tab w:val="left" w:pos="8784"/>
        </w:tabs>
        <w:ind w:right="14"/>
        <w:jc w:val="both"/>
      </w:pPr>
      <w:r>
        <w:t xml:space="preserve">In the course of its banking activities, the Bank undertakes various </w:t>
      </w:r>
      <w:r>
        <w:t>commitments and incurs contingent liabilities that are not presented in the accompanying consolidated financial statements.  Such commitments include extending credit facilities, foreign currency and interest related transactions, payment guarantees, lette</w:t>
      </w:r>
      <w:r>
        <w:t>rs of guarantee, acceptance credits and letters of credits.</w:t>
      </w:r>
    </w:p>
    <w:p w:rsidR="00685411" w:rsidRDefault="00685411">
      <w:pPr>
        <w:pStyle w:val="BodyText"/>
        <w:tabs>
          <w:tab w:val="left" w:pos="3888"/>
          <w:tab w:val="left" w:pos="5328"/>
          <w:tab w:val="left" w:pos="6912"/>
          <w:tab w:val="left" w:pos="8784"/>
        </w:tabs>
        <w:ind w:right="14"/>
        <w:jc w:val="both"/>
      </w:pPr>
    </w:p>
    <w:p w:rsidR="00685411" w:rsidRDefault="001405FF">
      <w:pPr>
        <w:pStyle w:val="BodyText"/>
        <w:tabs>
          <w:tab w:val="left" w:pos="3888"/>
          <w:tab w:val="left" w:pos="5328"/>
          <w:tab w:val="left" w:pos="6912"/>
          <w:tab w:val="left" w:pos="8784"/>
        </w:tabs>
        <w:ind w:right="14"/>
        <w:jc w:val="both"/>
      </w:pPr>
      <w:r>
        <w:t>As of September 30, 2002, the significant commitments have been presented in the accompanying statement of consolidated off-balance sheet obligations.</w:t>
      </w:r>
    </w:p>
    <w:p w:rsidR="00685411" w:rsidRDefault="00685411">
      <w:pPr>
        <w:tabs>
          <w:tab w:val="left" w:pos="864"/>
          <w:tab w:val="left" w:pos="2160"/>
          <w:tab w:val="left" w:pos="8280"/>
        </w:tabs>
        <w:ind w:right="14"/>
      </w:pPr>
    </w:p>
    <w:p w:rsidR="00685411" w:rsidRDefault="001405FF">
      <w:pPr>
        <w:tabs>
          <w:tab w:val="left" w:pos="864"/>
          <w:tab w:val="left" w:pos="2160"/>
          <w:tab w:val="left" w:pos="8280"/>
        </w:tabs>
        <w:ind w:right="14"/>
        <w:rPr>
          <w:b/>
        </w:rPr>
      </w:pPr>
      <w:r>
        <w:rPr>
          <w:b/>
        </w:rPr>
        <w:t>(8)  CONSOLIDATED TOTAL OF FOREIGN CURRENCY</w:t>
      </w:r>
      <w:r>
        <w:rPr>
          <w:b/>
        </w:rPr>
        <w:t xml:space="preserve"> DENOMINATED </w:t>
      </w:r>
    </w:p>
    <w:p w:rsidR="00685411" w:rsidRDefault="001405FF">
      <w:pPr>
        <w:tabs>
          <w:tab w:val="left" w:pos="864"/>
          <w:tab w:val="left" w:pos="2160"/>
          <w:tab w:val="left" w:pos="8280"/>
        </w:tabs>
        <w:ind w:right="14"/>
        <w:rPr>
          <w:b/>
          <w:u w:val="single"/>
        </w:rPr>
      </w:pPr>
      <w:r>
        <w:rPr>
          <w:b/>
          <w:u w:val="single"/>
        </w:rPr>
        <w:t xml:space="preserve">       ASSETS AND LIABILITIES                                                                     :</w:t>
      </w:r>
    </w:p>
    <w:p w:rsidR="00685411" w:rsidRDefault="00685411">
      <w:pPr>
        <w:tabs>
          <w:tab w:val="left" w:pos="864"/>
          <w:tab w:val="left" w:pos="2160"/>
          <w:tab w:val="left" w:pos="8280"/>
        </w:tabs>
        <w:ind w:right="14"/>
        <w:jc w:val="both"/>
      </w:pPr>
    </w:p>
    <w:p w:rsidR="00685411" w:rsidRDefault="001405FF">
      <w:pPr>
        <w:tabs>
          <w:tab w:val="left" w:pos="864"/>
          <w:tab w:val="left" w:pos="2160"/>
          <w:tab w:val="left" w:pos="8280"/>
        </w:tabs>
        <w:ind w:right="14"/>
        <w:jc w:val="both"/>
      </w:pPr>
      <w:r>
        <w:t>As of September 30, 2002, consolidated total of foreign currency denominated assets amount to 2,841,884TL and consolidated total of foreign c</w:t>
      </w:r>
      <w:r>
        <w:t>urrency denominated liabilities amount to 2,805,478TL.</w:t>
      </w:r>
    </w:p>
    <w:p w:rsidR="00685411" w:rsidRDefault="00685411">
      <w:pPr>
        <w:tabs>
          <w:tab w:val="left" w:pos="864"/>
          <w:tab w:val="left" w:pos="2160"/>
          <w:tab w:val="left" w:pos="8280"/>
        </w:tabs>
        <w:ind w:right="14"/>
      </w:pPr>
    </w:p>
    <w:p w:rsidR="00685411" w:rsidRDefault="001405FF">
      <w:pPr>
        <w:tabs>
          <w:tab w:val="left" w:pos="864"/>
          <w:tab w:val="left" w:pos="2160"/>
          <w:tab w:val="left" w:pos="8280"/>
        </w:tabs>
        <w:ind w:right="14"/>
        <w:rPr>
          <w:b/>
        </w:rPr>
      </w:pPr>
      <w:r>
        <w:rPr>
          <w:b/>
        </w:rPr>
        <w:t xml:space="preserve">(9)  BASIS OF VALUATION FOR VARIOUS ACCOUNTS AND THE </w:t>
      </w:r>
    </w:p>
    <w:p w:rsidR="00685411" w:rsidRDefault="001405FF">
      <w:pPr>
        <w:tabs>
          <w:tab w:val="left" w:pos="864"/>
          <w:tab w:val="left" w:pos="2160"/>
          <w:tab w:val="left" w:pos="8280"/>
        </w:tabs>
        <w:ind w:right="14"/>
        <w:rPr>
          <w:b/>
          <w:u w:val="single"/>
        </w:rPr>
      </w:pPr>
      <w:r>
        <w:rPr>
          <w:b/>
          <w:u w:val="single"/>
        </w:rPr>
        <w:t xml:space="preserve">       PROCEDURES       WITH RESPECT TO CONSOLIDATION                               : </w:t>
      </w:r>
    </w:p>
    <w:p w:rsidR="00685411" w:rsidRDefault="00685411">
      <w:pPr>
        <w:tabs>
          <w:tab w:val="left" w:pos="864"/>
          <w:tab w:val="left" w:pos="2160"/>
          <w:tab w:val="left" w:pos="8280"/>
        </w:tabs>
        <w:ind w:right="14"/>
      </w:pPr>
    </w:p>
    <w:p w:rsidR="00685411" w:rsidRDefault="001405FF">
      <w:pPr>
        <w:tabs>
          <w:tab w:val="left" w:pos="864"/>
          <w:tab w:val="left" w:pos="2160"/>
          <w:tab w:val="left" w:pos="8280"/>
        </w:tabs>
        <w:ind w:right="14"/>
        <w:jc w:val="both"/>
      </w:pPr>
      <w:r>
        <w:t xml:space="preserve">The Bank maintains its books of account and prepares its </w:t>
      </w:r>
      <w:r>
        <w:t>financials statements in Turkish lira in accordance with the Turkish Commercial Code, Banking Law and tax regulations. The accompanying consolidated financial statements are prepared in accordance with the Uniform Chart of Accounts, standard balance sheet,</w:t>
      </w:r>
      <w:r>
        <w:t xml:space="preserve"> income statement, supplementary financial statements and footnotes to these financial statements and the explanations related to the applications of such financial statements and the accounting and valuation principles thereto that are based on the articl</w:t>
      </w:r>
      <w:r>
        <w:t>e 13 of the Banking Law 4389 as revised by Law Number 4672 and 4491 and the “Accounting Standard on Financial Statements at Hyperinflation Periods” communiqué (No.14) published at Official Gazette numbered 24793 and dated June 22, 2002, which is related to</w:t>
      </w:r>
      <w:r>
        <w:t xml:space="preserve"> the “Regulation of Accounting Applications” and effective from July 1, 2002.  The restatement was calculated by means of conversion factors derived from the countrywide wholesale price index published by the State Institute of Statistics. Indices and conv</w:t>
      </w:r>
      <w:r>
        <w:t>ersion factors that were used to present the financial statements as of September 30, 2002 reflecting the restatement for the changes in the general purchasing power of the Turkish is as follows;</w:t>
      </w:r>
    </w:p>
    <w:p w:rsidR="00685411" w:rsidRDefault="001405FF">
      <w:pPr>
        <w:pStyle w:val="BodyText2"/>
        <w:jc w:val="center"/>
      </w:pPr>
      <w:r>
        <w:br w:type="page"/>
      </w:r>
    </w:p>
    <w:p w:rsidR="00685411" w:rsidRDefault="001405FF">
      <w:pPr>
        <w:pStyle w:val="BodyText2"/>
        <w:jc w:val="center"/>
      </w:pPr>
      <w:r>
        <w:t>-5-</w:t>
      </w:r>
    </w:p>
    <w:p w:rsidR="00685411" w:rsidRDefault="00685411">
      <w:pPr>
        <w:tabs>
          <w:tab w:val="left" w:pos="576"/>
          <w:tab w:val="left" w:pos="864"/>
          <w:tab w:val="left" w:pos="1584"/>
          <w:tab w:val="left" w:pos="2016"/>
          <w:tab w:val="left" w:pos="4032"/>
        </w:tabs>
        <w:ind w:right="14"/>
        <w:jc w:val="center"/>
      </w:pPr>
    </w:p>
    <w:p w:rsidR="00685411" w:rsidRDefault="001405FF">
      <w:pPr>
        <w:tabs>
          <w:tab w:val="left" w:pos="576"/>
          <w:tab w:val="left" w:pos="864"/>
          <w:tab w:val="left" w:pos="1584"/>
          <w:tab w:val="left" w:pos="2016"/>
          <w:tab w:val="left" w:pos="4032"/>
        </w:tabs>
        <w:ind w:right="14"/>
        <w:jc w:val="center"/>
      </w:pPr>
      <w:r>
        <w:t xml:space="preserve"> (CONVENIENCE TRANSLATION OF A REPORT AND FINANCIAL </w:t>
      </w:r>
      <w:r>
        <w:t>STATEMENTS ORIGINALLY ISSUED IN TURKISH – SEE NOTE 9)</w:t>
      </w:r>
    </w:p>
    <w:p w:rsidR="00685411" w:rsidRDefault="00685411">
      <w:pPr>
        <w:tabs>
          <w:tab w:val="left" w:pos="864"/>
          <w:tab w:val="left" w:pos="2160"/>
          <w:tab w:val="left" w:pos="8280"/>
        </w:tabs>
        <w:ind w:right="14"/>
        <w:jc w:val="both"/>
      </w:pPr>
    </w:p>
    <w:tbl>
      <w:tblPr>
        <w:tblW w:w="0" w:type="auto"/>
        <w:tblInd w:w="468" w:type="dxa"/>
        <w:tblLayout w:type="fixed"/>
        <w:tblLook w:val="0000" w:firstRow="0" w:lastRow="0" w:firstColumn="0" w:lastColumn="0" w:noHBand="0" w:noVBand="0"/>
      </w:tblPr>
      <w:tblGrid>
        <w:gridCol w:w="3663"/>
        <w:gridCol w:w="236"/>
        <w:gridCol w:w="1321"/>
        <w:gridCol w:w="270"/>
        <w:gridCol w:w="1530"/>
      </w:tblGrid>
      <w:tr w:rsidR="00685411">
        <w:trPr>
          <w:cantSplit/>
        </w:trPr>
        <w:tc>
          <w:tcPr>
            <w:tcW w:w="3663" w:type="dxa"/>
            <w:tcBorders>
              <w:bottom w:val="single" w:sz="6" w:space="0" w:color="auto"/>
            </w:tcBorders>
          </w:tcPr>
          <w:p w:rsidR="00685411" w:rsidRDefault="00685411">
            <w:pPr>
              <w:jc w:val="center"/>
            </w:pPr>
          </w:p>
          <w:p w:rsidR="00685411" w:rsidRDefault="001405FF">
            <w:r>
              <w:t>Date</w:t>
            </w:r>
          </w:p>
        </w:tc>
        <w:tc>
          <w:tcPr>
            <w:tcW w:w="236" w:type="dxa"/>
          </w:tcPr>
          <w:p w:rsidR="00685411" w:rsidRDefault="00685411">
            <w:pPr>
              <w:jc w:val="center"/>
            </w:pPr>
          </w:p>
        </w:tc>
        <w:tc>
          <w:tcPr>
            <w:tcW w:w="1321" w:type="dxa"/>
            <w:tcBorders>
              <w:bottom w:val="single" w:sz="6" w:space="0" w:color="auto"/>
            </w:tcBorders>
          </w:tcPr>
          <w:p w:rsidR="00685411" w:rsidRDefault="00685411">
            <w:pPr>
              <w:jc w:val="center"/>
            </w:pPr>
          </w:p>
          <w:p w:rsidR="00685411" w:rsidRDefault="001405FF">
            <w:pPr>
              <w:jc w:val="center"/>
            </w:pPr>
            <w:r>
              <w:t>Index</w:t>
            </w:r>
          </w:p>
        </w:tc>
        <w:tc>
          <w:tcPr>
            <w:tcW w:w="270" w:type="dxa"/>
          </w:tcPr>
          <w:p w:rsidR="00685411" w:rsidRDefault="00685411">
            <w:pPr>
              <w:jc w:val="center"/>
            </w:pPr>
          </w:p>
        </w:tc>
        <w:tc>
          <w:tcPr>
            <w:tcW w:w="1530" w:type="dxa"/>
            <w:tcBorders>
              <w:bottom w:val="single" w:sz="6" w:space="0" w:color="auto"/>
            </w:tcBorders>
          </w:tcPr>
          <w:p w:rsidR="00685411" w:rsidRDefault="001405FF">
            <w:pPr>
              <w:jc w:val="center"/>
            </w:pPr>
            <w:r>
              <w:t>Conversion Factors</w:t>
            </w:r>
          </w:p>
        </w:tc>
      </w:tr>
      <w:tr w:rsidR="00685411">
        <w:trPr>
          <w:cantSplit/>
        </w:trPr>
        <w:tc>
          <w:tcPr>
            <w:tcW w:w="3663" w:type="dxa"/>
          </w:tcPr>
          <w:p w:rsidR="00685411" w:rsidRDefault="001405FF">
            <w:r>
              <w:t xml:space="preserve">September 30, 2002 </w:t>
            </w:r>
          </w:p>
        </w:tc>
        <w:tc>
          <w:tcPr>
            <w:tcW w:w="236" w:type="dxa"/>
          </w:tcPr>
          <w:p w:rsidR="00685411" w:rsidRDefault="00685411">
            <w:pPr>
              <w:jc w:val="right"/>
            </w:pPr>
          </w:p>
        </w:tc>
        <w:tc>
          <w:tcPr>
            <w:tcW w:w="1321" w:type="dxa"/>
          </w:tcPr>
          <w:p w:rsidR="00685411" w:rsidRDefault="001405FF">
            <w:pPr>
              <w:jc w:val="center"/>
            </w:pPr>
            <w:r>
              <w:t>6,025</w:t>
            </w:r>
          </w:p>
        </w:tc>
        <w:tc>
          <w:tcPr>
            <w:tcW w:w="270" w:type="dxa"/>
          </w:tcPr>
          <w:p w:rsidR="00685411" w:rsidRDefault="00685411">
            <w:pPr>
              <w:jc w:val="right"/>
            </w:pPr>
          </w:p>
        </w:tc>
        <w:tc>
          <w:tcPr>
            <w:tcW w:w="1530" w:type="dxa"/>
          </w:tcPr>
          <w:p w:rsidR="00685411" w:rsidRDefault="001405FF">
            <w:pPr>
              <w:jc w:val="center"/>
            </w:pPr>
            <w:r>
              <w:t>1.000</w:t>
            </w:r>
          </w:p>
        </w:tc>
      </w:tr>
      <w:tr w:rsidR="00685411">
        <w:trPr>
          <w:cantSplit/>
        </w:trPr>
        <w:tc>
          <w:tcPr>
            <w:tcW w:w="3663" w:type="dxa"/>
          </w:tcPr>
          <w:p w:rsidR="00685411" w:rsidRDefault="001405FF">
            <w:r>
              <w:t>June 30, 2002</w:t>
            </w:r>
          </w:p>
        </w:tc>
        <w:tc>
          <w:tcPr>
            <w:tcW w:w="236" w:type="dxa"/>
          </w:tcPr>
          <w:p w:rsidR="00685411" w:rsidRDefault="00685411">
            <w:pPr>
              <w:jc w:val="right"/>
            </w:pPr>
          </w:p>
        </w:tc>
        <w:tc>
          <w:tcPr>
            <w:tcW w:w="1321" w:type="dxa"/>
          </w:tcPr>
          <w:p w:rsidR="00685411" w:rsidRDefault="001405FF">
            <w:pPr>
              <w:jc w:val="center"/>
            </w:pPr>
            <w:r>
              <w:t>5,572</w:t>
            </w:r>
          </w:p>
        </w:tc>
        <w:tc>
          <w:tcPr>
            <w:tcW w:w="270" w:type="dxa"/>
          </w:tcPr>
          <w:p w:rsidR="00685411" w:rsidRDefault="00685411">
            <w:pPr>
              <w:jc w:val="right"/>
            </w:pPr>
          </w:p>
        </w:tc>
        <w:tc>
          <w:tcPr>
            <w:tcW w:w="1530" w:type="dxa"/>
          </w:tcPr>
          <w:p w:rsidR="00685411" w:rsidRDefault="001405FF">
            <w:pPr>
              <w:jc w:val="center"/>
            </w:pPr>
            <w:r>
              <w:t>1.081</w:t>
            </w:r>
          </w:p>
        </w:tc>
      </w:tr>
      <w:tr w:rsidR="00685411">
        <w:trPr>
          <w:cantSplit/>
        </w:trPr>
        <w:tc>
          <w:tcPr>
            <w:tcW w:w="3663" w:type="dxa"/>
          </w:tcPr>
          <w:p w:rsidR="00685411" w:rsidRDefault="001405FF">
            <w:r>
              <w:t>December 31, 2001</w:t>
            </w:r>
          </w:p>
        </w:tc>
        <w:tc>
          <w:tcPr>
            <w:tcW w:w="236" w:type="dxa"/>
          </w:tcPr>
          <w:p w:rsidR="00685411" w:rsidRDefault="00685411">
            <w:pPr>
              <w:jc w:val="right"/>
            </w:pPr>
          </w:p>
        </w:tc>
        <w:tc>
          <w:tcPr>
            <w:tcW w:w="1321" w:type="dxa"/>
          </w:tcPr>
          <w:p w:rsidR="00685411" w:rsidRDefault="001405FF">
            <w:pPr>
              <w:jc w:val="center"/>
            </w:pPr>
            <w:r>
              <w:t>4,952</w:t>
            </w:r>
          </w:p>
        </w:tc>
        <w:tc>
          <w:tcPr>
            <w:tcW w:w="270" w:type="dxa"/>
          </w:tcPr>
          <w:p w:rsidR="00685411" w:rsidRDefault="00685411">
            <w:pPr>
              <w:jc w:val="right"/>
            </w:pPr>
          </w:p>
        </w:tc>
        <w:tc>
          <w:tcPr>
            <w:tcW w:w="1530" w:type="dxa"/>
          </w:tcPr>
          <w:p w:rsidR="00685411" w:rsidRDefault="001405FF">
            <w:pPr>
              <w:jc w:val="center"/>
            </w:pPr>
            <w:r>
              <w:t>1.217</w:t>
            </w:r>
          </w:p>
        </w:tc>
      </w:tr>
      <w:tr w:rsidR="00685411">
        <w:trPr>
          <w:cantSplit/>
        </w:trPr>
        <w:tc>
          <w:tcPr>
            <w:tcW w:w="3663" w:type="dxa"/>
          </w:tcPr>
          <w:p w:rsidR="00685411" w:rsidRDefault="001405FF">
            <w:r>
              <w:t>September 30, 2001</w:t>
            </w:r>
          </w:p>
        </w:tc>
        <w:tc>
          <w:tcPr>
            <w:tcW w:w="236" w:type="dxa"/>
          </w:tcPr>
          <w:p w:rsidR="00685411" w:rsidRDefault="00685411">
            <w:pPr>
              <w:jc w:val="right"/>
            </w:pPr>
          </w:p>
        </w:tc>
        <w:tc>
          <w:tcPr>
            <w:tcW w:w="1321" w:type="dxa"/>
          </w:tcPr>
          <w:p w:rsidR="00685411" w:rsidRDefault="001405FF">
            <w:pPr>
              <w:jc w:val="center"/>
            </w:pPr>
            <w:r>
              <w:t>4,277</w:t>
            </w:r>
          </w:p>
        </w:tc>
        <w:tc>
          <w:tcPr>
            <w:tcW w:w="270" w:type="dxa"/>
          </w:tcPr>
          <w:p w:rsidR="00685411" w:rsidRDefault="00685411">
            <w:pPr>
              <w:jc w:val="right"/>
            </w:pPr>
          </w:p>
        </w:tc>
        <w:tc>
          <w:tcPr>
            <w:tcW w:w="1530" w:type="dxa"/>
          </w:tcPr>
          <w:p w:rsidR="00685411" w:rsidRDefault="001405FF">
            <w:pPr>
              <w:jc w:val="center"/>
            </w:pPr>
            <w:r>
              <w:t>1.409</w:t>
            </w:r>
          </w:p>
        </w:tc>
      </w:tr>
      <w:tr w:rsidR="00685411">
        <w:trPr>
          <w:cantSplit/>
        </w:trPr>
        <w:tc>
          <w:tcPr>
            <w:tcW w:w="3663" w:type="dxa"/>
          </w:tcPr>
          <w:p w:rsidR="00685411" w:rsidRDefault="001405FF">
            <w:r>
              <w:t>December 31, 2000</w:t>
            </w:r>
          </w:p>
        </w:tc>
        <w:tc>
          <w:tcPr>
            <w:tcW w:w="236" w:type="dxa"/>
          </w:tcPr>
          <w:p w:rsidR="00685411" w:rsidRDefault="00685411">
            <w:pPr>
              <w:jc w:val="right"/>
            </w:pPr>
          </w:p>
        </w:tc>
        <w:tc>
          <w:tcPr>
            <w:tcW w:w="1321" w:type="dxa"/>
          </w:tcPr>
          <w:p w:rsidR="00685411" w:rsidRDefault="001405FF">
            <w:pPr>
              <w:jc w:val="center"/>
            </w:pPr>
            <w:r>
              <w:t>2,626</w:t>
            </w:r>
          </w:p>
        </w:tc>
        <w:tc>
          <w:tcPr>
            <w:tcW w:w="270" w:type="dxa"/>
          </w:tcPr>
          <w:p w:rsidR="00685411" w:rsidRDefault="00685411">
            <w:pPr>
              <w:jc w:val="right"/>
            </w:pPr>
          </w:p>
        </w:tc>
        <w:tc>
          <w:tcPr>
            <w:tcW w:w="1530" w:type="dxa"/>
          </w:tcPr>
          <w:p w:rsidR="00685411" w:rsidRDefault="001405FF">
            <w:pPr>
              <w:jc w:val="center"/>
            </w:pPr>
            <w:r>
              <w:t>2.294</w:t>
            </w:r>
          </w:p>
        </w:tc>
      </w:tr>
    </w:tbl>
    <w:p w:rsidR="00685411" w:rsidRDefault="00685411">
      <w:pPr>
        <w:tabs>
          <w:tab w:val="left" w:pos="864"/>
          <w:tab w:val="left" w:pos="2160"/>
          <w:tab w:val="left" w:pos="8280"/>
        </w:tabs>
        <w:ind w:right="14"/>
        <w:jc w:val="both"/>
      </w:pPr>
    </w:p>
    <w:p w:rsidR="00685411" w:rsidRDefault="001405FF">
      <w:pPr>
        <w:tabs>
          <w:tab w:val="left" w:pos="576"/>
          <w:tab w:val="left" w:pos="3456"/>
          <w:tab w:val="left" w:pos="4176"/>
          <w:tab w:val="left" w:pos="4608"/>
        </w:tabs>
        <w:jc w:val="both"/>
      </w:pPr>
      <w:r>
        <w:t>The main guidelines for the above mentioned restatement are as follows:</w:t>
      </w:r>
    </w:p>
    <w:p w:rsidR="00685411" w:rsidRDefault="00685411">
      <w:pPr>
        <w:tabs>
          <w:tab w:val="left" w:pos="576"/>
          <w:tab w:val="left" w:pos="3456"/>
          <w:tab w:val="left" w:pos="4176"/>
          <w:tab w:val="left" w:pos="4608"/>
        </w:tabs>
        <w:jc w:val="both"/>
      </w:pPr>
    </w:p>
    <w:p w:rsidR="00685411" w:rsidRDefault="001405FF">
      <w:pPr>
        <w:tabs>
          <w:tab w:val="left" w:pos="576"/>
          <w:tab w:val="left" w:pos="3456"/>
          <w:tab w:val="left" w:pos="4176"/>
          <w:tab w:val="left" w:pos="4608"/>
        </w:tabs>
        <w:ind w:left="360" w:hanging="360"/>
        <w:jc w:val="both"/>
      </w:pPr>
      <w:r>
        <w:t>-</w:t>
      </w:r>
      <w:r>
        <w:tab/>
        <w:t>Monetary assets and liabilities reported in the balance sheet as of September 30, 2002 are not restated because they are already expressed in terms of the monetary unit current at t</w:t>
      </w:r>
      <w:r>
        <w:t>hat balance sheet date.</w:t>
      </w:r>
    </w:p>
    <w:p w:rsidR="00685411" w:rsidRDefault="00685411">
      <w:pPr>
        <w:tabs>
          <w:tab w:val="left" w:pos="576"/>
          <w:tab w:val="left" w:pos="3456"/>
          <w:tab w:val="left" w:pos="4176"/>
          <w:tab w:val="left" w:pos="4608"/>
        </w:tabs>
        <w:ind w:left="360" w:hanging="360"/>
        <w:jc w:val="both"/>
      </w:pPr>
    </w:p>
    <w:p w:rsidR="00685411" w:rsidRDefault="001405FF">
      <w:pPr>
        <w:tabs>
          <w:tab w:val="left" w:pos="576"/>
          <w:tab w:val="left" w:pos="3456"/>
          <w:tab w:val="left" w:pos="4176"/>
          <w:tab w:val="left" w:pos="4608"/>
        </w:tabs>
        <w:ind w:left="360" w:hanging="360"/>
        <w:jc w:val="both"/>
      </w:pPr>
      <w:r>
        <w:t>-</w:t>
      </w:r>
      <w:r>
        <w:tab/>
        <w:t>The inflation adjusted share capital amount has been derived by indexing each share capital increase from the date they were contributed.</w:t>
      </w:r>
    </w:p>
    <w:p w:rsidR="00685411" w:rsidRDefault="00685411">
      <w:pPr>
        <w:tabs>
          <w:tab w:val="left" w:pos="576"/>
          <w:tab w:val="left" w:pos="3456"/>
          <w:tab w:val="left" w:pos="4176"/>
          <w:tab w:val="left" w:pos="4608"/>
        </w:tabs>
        <w:ind w:left="360" w:hanging="360"/>
        <w:jc w:val="both"/>
      </w:pPr>
    </w:p>
    <w:p w:rsidR="00685411" w:rsidRDefault="001405FF">
      <w:pPr>
        <w:pStyle w:val="BodyTextIndent"/>
        <w:numPr>
          <w:ilvl w:val="0"/>
          <w:numId w:val="1"/>
        </w:numPr>
        <w:tabs>
          <w:tab w:val="left" w:pos="576"/>
          <w:tab w:val="left" w:pos="3456"/>
          <w:tab w:val="left" w:pos="4176"/>
          <w:tab w:val="left" w:pos="4608"/>
        </w:tabs>
        <w:jc w:val="both"/>
        <w:rPr>
          <w:snapToGrid w:val="0"/>
        </w:rPr>
      </w:pPr>
      <w:r>
        <w:t xml:space="preserve">Non-monetary assets and liabilities, which are not carried at amounts current at the </w:t>
      </w:r>
      <w:r>
        <w:t>balance sheet date, and other components of shareholders’ equity (except for the revaluation surplus which is eliminated) are restated by applying the relevant conversion factors. Retained earnings resulting from restatement are included in to general rese</w:t>
      </w:r>
      <w:r>
        <w:t>rves and accumulated deficits are included in to prior year losses on a net basis.</w:t>
      </w:r>
    </w:p>
    <w:p w:rsidR="00685411" w:rsidRDefault="00685411">
      <w:pPr>
        <w:pStyle w:val="BodyTextIndent"/>
        <w:tabs>
          <w:tab w:val="left" w:pos="576"/>
          <w:tab w:val="left" w:pos="3456"/>
          <w:tab w:val="left" w:pos="4176"/>
          <w:tab w:val="left" w:pos="4608"/>
        </w:tabs>
        <w:ind w:left="0"/>
        <w:rPr>
          <w:snapToGrid w:val="0"/>
        </w:rPr>
      </w:pPr>
    </w:p>
    <w:p w:rsidR="00685411" w:rsidRDefault="001405FF">
      <w:pPr>
        <w:pStyle w:val="BodyTextIndent"/>
        <w:numPr>
          <w:ilvl w:val="0"/>
          <w:numId w:val="1"/>
        </w:numPr>
        <w:tabs>
          <w:tab w:val="left" w:pos="576"/>
          <w:tab w:val="left" w:pos="3456"/>
          <w:tab w:val="left" w:pos="4176"/>
          <w:tab w:val="left" w:pos="4608"/>
        </w:tabs>
        <w:jc w:val="both"/>
        <w:rPr>
          <w:snapToGrid w:val="0"/>
        </w:rPr>
      </w:pPr>
      <w:r>
        <w:rPr>
          <w:snapToGrid w:val="0"/>
        </w:rPr>
        <w:t xml:space="preserve">While restating the share capital, actual cash contribution dates to share capital increase are taken into consideration. Transfers of legal reserves and retained earnings </w:t>
      </w:r>
      <w:r>
        <w:rPr>
          <w:snapToGrid w:val="0"/>
        </w:rPr>
        <w:t>to share capital are considered as cash contributions by shareholders and are restated accordingly.</w:t>
      </w:r>
    </w:p>
    <w:p w:rsidR="00685411" w:rsidRDefault="00685411">
      <w:pPr>
        <w:pStyle w:val="BodyTextIndent"/>
        <w:tabs>
          <w:tab w:val="left" w:pos="576"/>
          <w:tab w:val="left" w:pos="3456"/>
          <w:tab w:val="left" w:pos="4176"/>
          <w:tab w:val="left" w:pos="4608"/>
        </w:tabs>
        <w:rPr>
          <w:snapToGrid w:val="0"/>
        </w:rPr>
      </w:pPr>
    </w:p>
    <w:p w:rsidR="00685411" w:rsidRDefault="001405FF">
      <w:pPr>
        <w:pStyle w:val="BodyTextIndent"/>
        <w:numPr>
          <w:ilvl w:val="0"/>
          <w:numId w:val="1"/>
        </w:numPr>
        <w:tabs>
          <w:tab w:val="left" w:pos="576"/>
          <w:tab w:val="left" w:pos="3456"/>
          <w:tab w:val="left" w:pos="4176"/>
          <w:tab w:val="left" w:pos="4608"/>
        </w:tabs>
        <w:jc w:val="both"/>
        <w:rPr>
          <w:snapToGrid w:val="0"/>
        </w:rPr>
      </w:pPr>
      <w:r>
        <w:t xml:space="preserve">All items in the statements of income are restated by applying the </w:t>
      </w:r>
      <w:r>
        <w:rPr>
          <w:snapToGrid w:val="0"/>
        </w:rPr>
        <w:t xml:space="preserve">appropriate </w:t>
      </w:r>
      <w:r>
        <w:t>relevant conversion factors with exception of depreciation, amortization and</w:t>
      </w:r>
      <w:r>
        <w:t xml:space="preserve"> gain or loss on disposal of fixed assets, which are reflected, based on restated costs.</w:t>
      </w:r>
    </w:p>
    <w:p w:rsidR="00685411" w:rsidRDefault="00685411">
      <w:pPr>
        <w:pStyle w:val="BodyTextIndent"/>
        <w:tabs>
          <w:tab w:val="left" w:pos="576"/>
          <w:tab w:val="left" w:pos="3456"/>
          <w:tab w:val="left" w:pos="4176"/>
          <w:tab w:val="left" w:pos="4608"/>
        </w:tabs>
        <w:ind w:left="0"/>
      </w:pPr>
    </w:p>
    <w:p w:rsidR="00685411" w:rsidRDefault="001405FF">
      <w:pPr>
        <w:pStyle w:val="BodyTextIndent"/>
        <w:numPr>
          <w:ilvl w:val="0"/>
          <w:numId w:val="1"/>
        </w:numPr>
        <w:tabs>
          <w:tab w:val="left" w:pos="576"/>
          <w:tab w:val="left" w:pos="3456"/>
          <w:tab w:val="left" w:pos="4176"/>
          <w:tab w:val="left" w:pos="4608"/>
        </w:tabs>
        <w:rPr>
          <w:snapToGrid w:val="0"/>
        </w:rPr>
      </w:pPr>
      <w:r>
        <w:t>The effect of inflation on the Bank’s net monetary position is included in the statements of income and separately disclosed as a net monetary gain or loss.</w:t>
      </w:r>
    </w:p>
    <w:p w:rsidR="00685411" w:rsidRDefault="00685411">
      <w:pPr>
        <w:ind w:left="480"/>
        <w:jc w:val="both"/>
      </w:pPr>
    </w:p>
    <w:p w:rsidR="00685411" w:rsidRDefault="001405FF">
      <w:pPr>
        <w:tabs>
          <w:tab w:val="left" w:pos="864"/>
          <w:tab w:val="left" w:pos="2160"/>
          <w:tab w:val="left" w:pos="8280"/>
        </w:tabs>
        <w:ind w:right="14"/>
        <w:jc w:val="both"/>
        <w:rPr>
          <w:b/>
        </w:rPr>
      </w:pPr>
      <w:r>
        <w:rPr>
          <w:b/>
        </w:rPr>
        <w:t>NOTE FOR</w:t>
      </w:r>
      <w:r>
        <w:rPr>
          <w:b/>
        </w:rPr>
        <w:t xml:space="preserve"> CONVENIENCE TRANSLATION</w:t>
      </w:r>
    </w:p>
    <w:p w:rsidR="00685411" w:rsidRDefault="00685411">
      <w:pPr>
        <w:tabs>
          <w:tab w:val="left" w:pos="864"/>
          <w:tab w:val="left" w:pos="2160"/>
          <w:tab w:val="left" w:pos="8280"/>
        </w:tabs>
        <w:ind w:right="14"/>
        <w:jc w:val="both"/>
      </w:pPr>
    </w:p>
    <w:p w:rsidR="00685411" w:rsidRDefault="001405FF">
      <w:pPr>
        <w:tabs>
          <w:tab w:val="left" w:pos="864"/>
          <w:tab w:val="left" w:pos="2160"/>
          <w:tab w:val="left" w:pos="8280"/>
        </w:tabs>
        <w:ind w:right="14"/>
        <w:jc w:val="both"/>
      </w:pPr>
      <w:r>
        <w:t>The accounting principles used in the preparation of the accompanying financial statements differ from International Financial Reporting Standards (IFRS) and so far as such differences apply to the financial statements of the Bank</w:t>
      </w:r>
      <w:r>
        <w:t xml:space="preserve"> they relate mainly to the format of financial statements and disclosure requirements, the non-application of IAS 39 (Financial Instruments – Recognition and Measurement), accounting for deferred taxes and accounting for retirement pay liabilities.  The ef</w:t>
      </w:r>
      <w:r>
        <w:t>fects of the differences between these accounting principles and the accounting principles generally accepted in the countries in which the accompanying financial statements are to be used and IFRS have not been quantified in the accompanying financial sta</w:t>
      </w:r>
      <w:r>
        <w:t xml:space="preserve">tements.  Accordingly, the accompanying financial statements are not intended to present the financial position and results of operations in accordance with accounting principles generally accepted in the countries of users of the financial statements and </w:t>
      </w:r>
      <w:r>
        <w:t>IFRS.</w:t>
      </w:r>
    </w:p>
    <w:p w:rsidR="00685411" w:rsidRDefault="001405FF">
      <w:pPr>
        <w:tabs>
          <w:tab w:val="left" w:pos="864"/>
          <w:tab w:val="left" w:pos="2160"/>
          <w:tab w:val="left" w:pos="8280"/>
        </w:tabs>
        <w:ind w:right="14"/>
        <w:jc w:val="center"/>
      </w:pPr>
      <w:r>
        <w:rPr>
          <w:i/>
        </w:rPr>
        <w:br w:type="page"/>
      </w:r>
      <w:r>
        <w:t>-6-</w:t>
      </w:r>
    </w:p>
    <w:p w:rsidR="00685411" w:rsidRDefault="001405FF">
      <w:pPr>
        <w:tabs>
          <w:tab w:val="left" w:pos="576"/>
          <w:tab w:val="left" w:pos="864"/>
          <w:tab w:val="left" w:pos="1584"/>
          <w:tab w:val="left" w:pos="2016"/>
          <w:tab w:val="left" w:pos="4032"/>
        </w:tabs>
        <w:ind w:right="14"/>
        <w:jc w:val="center"/>
      </w:pPr>
      <w:r>
        <w:t>(CONVENIENCE TRANSLATION OF A REPORT AND FINANCIAL STATEMENTS ORIGINALLY ISSUED IN TURKISH – SEE NOTE 9)</w:t>
      </w:r>
    </w:p>
    <w:p w:rsidR="00685411" w:rsidRDefault="00685411">
      <w:pPr>
        <w:tabs>
          <w:tab w:val="left" w:pos="864"/>
          <w:tab w:val="left" w:pos="2160"/>
          <w:tab w:val="left" w:pos="8280"/>
        </w:tabs>
        <w:ind w:right="14"/>
        <w:rPr>
          <w:i/>
        </w:rPr>
      </w:pPr>
    </w:p>
    <w:p w:rsidR="00685411" w:rsidRDefault="001405FF">
      <w:pPr>
        <w:tabs>
          <w:tab w:val="left" w:pos="864"/>
          <w:tab w:val="left" w:pos="2160"/>
          <w:tab w:val="left" w:pos="8280"/>
        </w:tabs>
        <w:ind w:right="14"/>
      </w:pPr>
      <w:r>
        <w:rPr>
          <w:i/>
        </w:rPr>
        <w:t>SIGNIFICANT ACCOUNTING POLICIES APPLIED:</w:t>
      </w:r>
    </w:p>
    <w:p w:rsidR="00685411" w:rsidRDefault="001405FF">
      <w:pPr>
        <w:tabs>
          <w:tab w:val="left" w:pos="864"/>
          <w:tab w:val="left" w:pos="2160"/>
          <w:tab w:val="left" w:pos="8280"/>
        </w:tabs>
        <w:ind w:left="540" w:right="14"/>
        <w:rPr>
          <w:b/>
          <w:u w:val="single"/>
        </w:rPr>
      </w:pPr>
      <w:r>
        <w:rPr>
          <w:b/>
          <w:u w:val="single"/>
        </w:rPr>
        <w:t>(a) Income and Expense Recognition:</w:t>
      </w:r>
    </w:p>
    <w:p w:rsidR="00685411" w:rsidRDefault="001405FF">
      <w:pPr>
        <w:tabs>
          <w:tab w:val="left" w:pos="864"/>
          <w:tab w:val="left" w:pos="2160"/>
          <w:tab w:val="left" w:pos="8280"/>
        </w:tabs>
        <w:ind w:left="540" w:right="14"/>
        <w:jc w:val="both"/>
      </w:pPr>
      <w:r>
        <w:t>Income and expenses are recognized on</w:t>
      </w:r>
      <w:r>
        <w:t xml:space="preserve"> the accrual basis except for commission income and fees for various banking services, which are recorded as income when, received.</w:t>
      </w:r>
    </w:p>
    <w:p w:rsidR="00685411" w:rsidRDefault="00685411">
      <w:pPr>
        <w:tabs>
          <w:tab w:val="left" w:pos="864"/>
          <w:tab w:val="left" w:pos="2160"/>
          <w:tab w:val="left" w:pos="8280"/>
        </w:tabs>
        <w:ind w:left="540" w:right="14"/>
      </w:pPr>
    </w:p>
    <w:p w:rsidR="00685411" w:rsidRDefault="001405FF">
      <w:pPr>
        <w:tabs>
          <w:tab w:val="left" w:pos="864"/>
          <w:tab w:val="left" w:pos="2160"/>
          <w:tab w:val="left" w:pos="8280"/>
        </w:tabs>
        <w:ind w:left="540" w:right="14"/>
        <w:rPr>
          <w:b/>
        </w:rPr>
      </w:pPr>
      <w:r>
        <w:rPr>
          <w:b/>
          <w:u w:val="single"/>
        </w:rPr>
        <w:t>(b) Marketable Securities and Long-Term Marketable Securities:</w:t>
      </w:r>
    </w:p>
    <w:p w:rsidR="00685411" w:rsidRDefault="001405FF">
      <w:pPr>
        <w:pStyle w:val="BodyTextIndent2"/>
        <w:ind w:firstLine="0"/>
        <w:jc w:val="both"/>
      </w:pPr>
      <w:r>
        <w:t>As of September 30, 2002, valuation methods of marketable se</w:t>
      </w:r>
      <w:r>
        <w:t>curities and long-term marketable securities have been changed in accordance with the revisions made by the memorandum of the Banking Regulation Supervision Agency no. BDDK.DZM-2/13 – 3631 dated May 3, 2001.</w:t>
      </w:r>
    </w:p>
    <w:p w:rsidR="00685411" w:rsidRDefault="00685411">
      <w:pPr>
        <w:tabs>
          <w:tab w:val="left" w:pos="2160"/>
          <w:tab w:val="left" w:pos="8280"/>
        </w:tabs>
        <w:ind w:left="540" w:right="14"/>
        <w:jc w:val="both"/>
      </w:pPr>
    </w:p>
    <w:p w:rsidR="00685411" w:rsidRDefault="001405FF">
      <w:pPr>
        <w:pStyle w:val="Heading7"/>
        <w:ind w:left="810"/>
      </w:pPr>
      <w:r>
        <w:t>Marketable Securities</w:t>
      </w:r>
    </w:p>
    <w:p w:rsidR="00685411" w:rsidRDefault="00685411">
      <w:pPr>
        <w:tabs>
          <w:tab w:val="left" w:pos="864"/>
          <w:tab w:val="left" w:pos="2160"/>
          <w:tab w:val="left" w:pos="8280"/>
        </w:tabs>
        <w:ind w:left="540" w:right="14"/>
        <w:rPr>
          <w:sz w:val="16"/>
        </w:rPr>
      </w:pPr>
    </w:p>
    <w:p w:rsidR="00685411" w:rsidRDefault="001405FF">
      <w:pPr>
        <w:tabs>
          <w:tab w:val="left" w:pos="1584"/>
        </w:tabs>
        <w:ind w:left="540" w:right="14"/>
        <w:jc w:val="both"/>
      </w:pPr>
      <w:r>
        <w:t>Available-for-sale and h</w:t>
      </w:r>
      <w:r>
        <w:t>eld-for-trading securities are classified under short-term marketable securities portfolio. Securities classified under short-term marketable securities portfolio are reflected at market prices.  As of September 30, 2002, all Turkish lira debt securities a</w:t>
      </w:r>
      <w:r>
        <w:t>re recognized at market prices that are based on last day average quoted bid prices in ISE.  Foreign currency denominated debt securities are valued at their closing prices and translated at the foreign currency year-end rate of exchange on the balance she</w:t>
      </w:r>
      <w:r>
        <w:t>et date.</w:t>
      </w:r>
      <w:r>
        <w:rPr>
          <w:color w:val="FF0000"/>
          <w:lang w:val="tr-TR"/>
        </w:rPr>
        <w:t xml:space="preserve">  </w:t>
      </w:r>
      <w:r>
        <w:t>The resulting foreign exchange gains or losses are recorded in the statement of income for the period. Income accrual on foreign currency denominated Eurobonds are computed by using the internal rate of return method whereas income accrual on oth</w:t>
      </w:r>
      <w:r>
        <w:t>er foreign currency denominated fixed-income securities are measured using daily indicative values announced by the Central Bank of Republic of Turkey, and are reflected in “Interest and other income accruals – Marketable Securities” in the accompanying co</w:t>
      </w:r>
      <w:r>
        <w:t xml:space="preserve">nsolidated financial statements. </w:t>
      </w:r>
    </w:p>
    <w:p w:rsidR="00685411" w:rsidRDefault="00685411">
      <w:pPr>
        <w:tabs>
          <w:tab w:val="left" w:pos="2160"/>
          <w:tab w:val="left" w:pos="8280"/>
        </w:tabs>
        <w:ind w:right="14"/>
        <w:jc w:val="both"/>
      </w:pPr>
    </w:p>
    <w:p w:rsidR="00685411" w:rsidRDefault="001405FF">
      <w:pPr>
        <w:pStyle w:val="Heading7"/>
        <w:ind w:left="810"/>
      </w:pPr>
      <w:r>
        <w:t>Long-Term Marketable Securities</w:t>
      </w:r>
    </w:p>
    <w:p w:rsidR="00685411" w:rsidRDefault="00685411">
      <w:pPr>
        <w:tabs>
          <w:tab w:val="left" w:pos="2160"/>
          <w:tab w:val="left" w:pos="8280"/>
        </w:tabs>
        <w:ind w:left="540" w:right="14"/>
        <w:jc w:val="both"/>
        <w:rPr>
          <w:sz w:val="16"/>
        </w:rPr>
      </w:pPr>
    </w:p>
    <w:p w:rsidR="00685411" w:rsidRDefault="001405FF">
      <w:pPr>
        <w:ind w:left="540" w:right="14"/>
        <w:jc w:val="both"/>
        <w:rPr>
          <w:color w:val="FF0000"/>
        </w:rPr>
      </w:pPr>
      <w:r>
        <w:t>As of September 30, 2002, floating rate marketable securities that are pledged or given as collateral</w:t>
      </w:r>
      <w:r>
        <w:rPr>
          <w:color w:val="FF0000"/>
        </w:rPr>
        <w:t xml:space="preserve"> </w:t>
      </w:r>
      <w:r>
        <w:t xml:space="preserve">to the Central Bank for interbank money market, and foreign currency transactions and </w:t>
      </w:r>
      <w:r>
        <w:t>securities held for disponibility reserve, that the Bank management intends to hold until maturity are classified as long-term marketable securities in the accompanying financial statements.</w:t>
      </w:r>
      <w:r>
        <w:rPr>
          <w:color w:val="FF0000"/>
          <w:lang w:val="tr-TR"/>
        </w:rPr>
        <w:t xml:space="preserve"> </w:t>
      </w:r>
    </w:p>
    <w:p w:rsidR="00685411" w:rsidRDefault="00685411">
      <w:pPr>
        <w:tabs>
          <w:tab w:val="left" w:pos="2160"/>
          <w:tab w:val="left" w:pos="8280"/>
        </w:tabs>
        <w:ind w:left="540" w:right="14"/>
        <w:jc w:val="both"/>
      </w:pPr>
    </w:p>
    <w:p w:rsidR="00685411" w:rsidRDefault="001405FF">
      <w:pPr>
        <w:tabs>
          <w:tab w:val="left" w:pos="2160"/>
          <w:tab w:val="left" w:pos="8280"/>
        </w:tabs>
        <w:ind w:left="540" w:right="14"/>
        <w:jc w:val="both"/>
      </w:pPr>
      <w:r>
        <w:t>Turkish lira government bonds and treasury bills, which are inc</w:t>
      </w:r>
      <w:r>
        <w:t xml:space="preserve">luded in the investment portfolio and are pledged or given as collateral, are stated at cost. </w:t>
      </w:r>
    </w:p>
    <w:p w:rsidR="00685411" w:rsidRDefault="00685411">
      <w:pPr>
        <w:tabs>
          <w:tab w:val="left" w:pos="2160"/>
          <w:tab w:val="left" w:pos="8280"/>
        </w:tabs>
        <w:ind w:left="540" w:right="14"/>
        <w:jc w:val="both"/>
      </w:pPr>
    </w:p>
    <w:p w:rsidR="00685411" w:rsidRDefault="001405FF">
      <w:pPr>
        <w:tabs>
          <w:tab w:val="left" w:pos="1584"/>
        </w:tabs>
        <w:ind w:left="540" w:right="14"/>
        <w:jc w:val="both"/>
      </w:pPr>
      <w:r>
        <w:t>At the end of period interest income accrual on long-term marketable securities is calculated using the straight-line method and reflected in “Interest and othe</w:t>
      </w:r>
      <w:r>
        <w:t xml:space="preserve">r income accruals – Marketable Securities” in the accompanying consolidated financial statements. </w:t>
      </w:r>
    </w:p>
    <w:p w:rsidR="00685411" w:rsidRDefault="00685411">
      <w:pPr>
        <w:tabs>
          <w:tab w:val="left" w:pos="1584"/>
        </w:tabs>
        <w:ind w:left="540" w:right="14"/>
        <w:jc w:val="both"/>
      </w:pPr>
    </w:p>
    <w:p w:rsidR="00685411" w:rsidRDefault="001405FF">
      <w:pPr>
        <w:tabs>
          <w:tab w:val="left" w:pos="1584"/>
        </w:tabs>
        <w:ind w:left="540" w:right="14"/>
        <w:jc w:val="both"/>
      </w:pPr>
      <w:r>
        <w:t>Share certificates included in long-term marketable securities are reflected at restated costs.</w:t>
      </w:r>
    </w:p>
    <w:p w:rsidR="00685411" w:rsidRDefault="00685411">
      <w:pPr>
        <w:tabs>
          <w:tab w:val="left" w:pos="2160"/>
          <w:tab w:val="left" w:pos="8280"/>
        </w:tabs>
        <w:ind w:left="540" w:right="14"/>
        <w:jc w:val="both"/>
      </w:pPr>
    </w:p>
    <w:p w:rsidR="00685411" w:rsidRDefault="001405FF">
      <w:pPr>
        <w:ind w:left="547" w:right="14"/>
        <w:jc w:val="both"/>
      </w:pPr>
      <w:r>
        <w:t>For debt securities, the positive or negative differences b</w:t>
      </w:r>
      <w:r>
        <w:t>etween the acquisition cost and the value at the valuation date are reflected as interest and other accruals. Gains or losses on the disposal of “investment” securities are recognized using a specific identification basis, and reflected in gain/loss on cap</w:t>
      </w:r>
      <w:r>
        <w:t xml:space="preserve">ital market transactions account in the accompanying statement of income. </w:t>
      </w:r>
    </w:p>
    <w:p w:rsidR="00685411" w:rsidRDefault="001405FF">
      <w:pPr>
        <w:tabs>
          <w:tab w:val="left" w:pos="864"/>
          <w:tab w:val="left" w:pos="2160"/>
          <w:tab w:val="left" w:pos="8280"/>
        </w:tabs>
        <w:ind w:left="540" w:right="14"/>
        <w:jc w:val="both"/>
      </w:pPr>
      <w:r>
        <w:br w:type="page"/>
      </w:r>
    </w:p>
    <w:p w:rsidR="00685411" w:rsidRDefault="001405FF">
      <w:pPr>
        <w:tabs>
          <w:tab w:val="left" w:pos="864"/>
          <w:tab w:val="left" w:pos="2160"/>
          <w:tab w:val="left" w:pos="8280"/>
        </w:tabs>
        <w:ind w:left="540" w:right="14" w:hanging="540"/>
        <w:jc w:val="center"/>
      </w:pPr>
      <w:r>
        <w:t>-7-</w:t>
      </w:r>
    </w:p>
    <w:p w:rsidR="00685411" w:rsidRDefault="00685411">
      <w:pPr>
        <w:tabs>
          <w:tab w:val="left" w:pos="864"/>
          <w:tab w:val="left" w:pos="2160"/>
          <w:tab w:val="left" w:pos="8280"/>
        </w:tabs>
        <w:ind w:left="540" w:right="14" w:hanging="540"/>
        <w:jc w:val="center"/>
      </w:pPr>
    </w:p>
    <w:p w:rsidR="00685411" w:rsidRDefault="001405FF">
      <w:pPr>
        <w:tabs>
          <w:tab w:val="left" w:pos="864"/>
          <w:tab w:val="left" w:pos="2160"/>
          <w:tab w:val="left" w:pos="8280"/>
        </w:tabs>
        <w:ind w:left="540" w:right="14"/>
        <w:jc w:val="center"/>
        <w:rPr>
          <w:u w:val="single"/>
        </w:rPr>
      </w:pPr>
      <w:r>
        <w:t>(CONVENIENCE TRANSLATION OF A REPORT AND FINANCIAL STATEMENTS ORIGINALLY ISSUED IN TURKISH – SEE NOTE 9)</w:t>
      </w:r>
    </w:p>
    <w:p w:rsidR="00685411" w:rsidRDefault="00685411">
      <w:pPr>
        <w:tabs>
          <w:tab w:val="left" w:pos="864"/>
          <w:tab w:val="left" w:pos="2160"/>
          <w:tab w:val="left" w:pos="8280"/>
        </w:tabs>
        <w:ind w:right="14"/>
        <w:jc w:val="both"/>
      </w:pPr>
    </w:p>
    <w:p w:rsidR="00685411" w:rsidRDefault="001405FF">
      <w:pPr>
        <w:tabs>
          <w:tab w:val="left" w:pos="864"/>
          <w:tab w:val="left" w:pos="2160"/>
          <w:tab w:val="left" w:pos="8280"/>
        </w:tabs>
        <w:ind w:left="540" w:right="14"/>
        <w:rPr>
          <w:b/>
          <w:u w:val="single"/>
        </w:rPr>
      </w:pPr>
      <w:r>
        <w:rPr>
          <w:b/>
          <w:u w:val="single"/>
        </w:rPr>
        <w:t>(c) Securities Under Resale or Repurchase Transactions:</w:t>
      </w:r>
    </w:p>
    <w:p w:rsidR="00685411" w:rsidRDefault="00685411">
      <w:pPr>
        <w:tabs>
          <w:tab w:val="left" w:pos="864"/>
          <w:tab w:val="left" w:pos="2160"/>
          <w:tab w:val="left" w:pos="8280"/>
        </w:tabs>
        <w:ind w:left="540" w:right="14"/>
      </w:pPr>
    </w:p>
    <w:p w:rsidR="00685411" w:rsidRDefault="001405FF">
      <w:pPr>
        <w:tabs>
          <w:tab w:val="left" w:pos="864"/>
          <w:tab w:val="left" w:pos="2160"/>
          <w:tab w:val="left" w:pos="8280"/>
        </w:tabs>
        <w:ind w:left="540" w:right="14"/>
        <w:jc w:val="both"/>
      </w:pPr>
      <w:r>
        <w:t>Repo and re</w:t>
      </w:r>
      <w:r>
        <w:t>verse repo transactions have been included in the balance sheet items since 01.02.2002 according to the accounting principle “substance over form” in accordance with the revisions made by the memorandum of the Banking Regulation Supervision Agency no. BDDK</w:t>
      </w:r>
      <w:r>
        <w:t>.DZM-2/13 dated December 13, 2001, on the Accounting Principles Uniform Chart of Account and Explanations for Banks based on  the Article 2-a of the Banking Law 4389.</w:t>
      </w:r>
    </w:p>
    <w:p w:rsidR="00685411" w:rsidRDefault="00685411">
      <w:pPr>
        <w:tabs>
          <w:tab w:val="left" w:pos="864"/>
          <w:tab w:val="left" w:pos="2160"/>
          <w:tab w:val="left" w:pos="8280"/>
        </w:tabs>
        <w:ind w:left="540" w:right="14"/>
        <w:jc w:val="both"/>
      </w:pPr>
    </w:p>
    <w:p w:rsidR="00685411" w:rsidRDefault="001405FF">
      <w:pPr>
        <w:tabs>
          <w:tab w:val="left" w:pos="864"/>
          <w:tab w:val="left" w:pos="2160"/>
          <w:tab w:val="left" w:pos="8280"/>
        </w:tabs>
        <w:ind w:left="540" w:right="14"/>
        <w:jc w:val="both"/>
      </w:pPr>
      <w:r>
        <w:t>The government bond and treasury bills sold to customers under repurchase agreements are</w:t>
      </w:r>
      <w:r>
        <w:t xml:space="preserve"> classified as securities subject to repo under long-term marketable securities and funds borrowed under securities repurchase agreements are reflected as a separate liability account. These transactions are short-term and entirely involve government secur</w:t>
      </w:r>
      <w:r>
        <w:t xml:space="preserve">ities.  Any gain or loss resulting from such transactions is reflected as gain or loss on capital market transactions in the accompanying income statements.  </w:t>
      </w:r>
    </w:p>
    <w:p w:rsidR="00685411" w:rsidRDefault="00685411">
      <w:pPr>
        <w:tabs>
          <w:tab w:val="left" w:pos="864"/>
          <w:tab w:val="left" w:pos="2160"/>
          <w:tab w:val="left" w:pos="8280"/>
        </w:tabs>
        <w:ind w:left="540" w:right="14"/>
        <w:jc w:val="both"/>
      </w:pPr>
    </w:p>
    <w:p w:rsidR="00685411" w:rsidRDefault="001405FF">
      <w:pPr>
        <w:tabs>
          <w:tab w:val="left" w:pos="864"/>
          <w:tab w:val="left" w:pos="2160"/>
          <w:tab w:val="left" w:pos="8280"/>
        </w:tabs>
        <w:ind w:left="540" w:right="14"/>
        <w:jc w:val="both"/>
      </w:pPr>
      <w:r>
        <w:t>Interest income accrual on marketable securities sold under repurchase agreement at the valuatio</w:t>
      </w:r>
      <w:r>
        <w:t xml:space="preserve">n date, is reported at market value, while interest expense accrual is computed based on the interest commitment to the customer at the maturity. </w:t>
      </w:r>
    </w:p>
    <w:p w:rsidR="00685411" w:rsidRDefault="00685411">
      <w:pPr>
        <w:tabs>
          <w:tab w:val="left" w:pos="864"/>
          <w:tab w:val="left" w:pos="2160"/>
          <w:tab w:val="left" w:pos="8280"/>
        </w:tabs>
        <w:ind w:left="540" w:right="14"/>
        <w:jc w:val="both"/>
      </w:pPr>
    </w:p>
    <w:p w:rsidR="00685411" w:rsidRDefault="001405FF">
      <w:pPr>
        <w:tabs>
          <w:tab w:val="left" w:pos="864"/>
          <w:tab w:val="left" w:pos="2160"/>
          <w:tab w:val="left" w:pos="8280"/>
        </w:tabs>
        <w:ind w:left="540" w:right="14"/>
        <w:jc w:val="both"/>
        <w:rPr>
          <w:b/>
          <w:u w:val="single"/>
        </w:rPr>
      </w:pPr>
      <w:r>
        <w:rPr>
          <w:b/>
          <w:u w:val="single"/>
        </w:rPr>
        <w:t>(d) Fixed Assets Acquired Under Financial Lease Agreements:</w:t>
      </w:r>
    </w:p>
    <w:p w:rsidR="00685411" w:rsidRDefault="00685411">
      <w:pPr>
        <w:tabs>
          <w:tab w:val="left" w:pos="864"/>
          <w:tab w:val="left" w:pos="2160"/>
          <w:tab w:val="left" w:pos="8280"/>
        </w:tabs>
        <w:ind w:left="540" w:right="14"/>
        <w:jc w:val="both"/>
      </w:pPr>
    </w:p>
    <w:p w:rsidR="00685411" w:rsidRDefault="001405FF">
      <w:pPr>
        <w:tabs>
          <w:tab w:val="left" w:pos="864"/>
          <w:tab w:val="left" w:pos="2160"/>
          <w:tab w:val="left" w:pos="8280"/>
        </w:tabs>
        <w:ind w:left="540" w:right="14"/>
        <w:jc w:val="both"/>
      </w:pPr>
      <w:r>
        <w:t>All of the obligations are short-term and forei</w:t>
      </w:r>
      <w:r>
        <w:t>gn currency.</w:t>
      </w:r>
    </w:p>
    <w:p w:rsidR="00685411" w:rsidRDefault="00685411">
      <w:pPr>
        <w:tabs>
          <w:tab w:val="left" w:pos="864"/>
          <w:tab w:val="left" w:pos="2160"/>
          <w:tab w:val="left" w:pos="8280"/>
        </w:tabs>
        <w:ind w:left="540" w:right="14"/>
        <w:jc w:val="both"/>
      </w:pPr>
    </w:p>
    <w:p w:rsidR="00685411" w:rsidRDefault="001405FF">
      <w:pPr>
        <w:tabs>
          <w:tab w:val="left" w:pos="864"/>
          <w:tab w:val="left" w:pos="2160"/>
          <w:tab w:val="left" w:pos="8280"/>
        </w:tabs>
        <w:ind w:left="540" w:right="14"/>
        <w:jc w:val="both"/>
      </w:pPr>
      <w:r>
        <w:t>The fixed assets acquired under financial lease agreements are accounted in accordance with International Accounting Standard Number 17.</w:t>
      </w:r>
    </w:p>
    <w:p w:rsidR="00685411" w:rsidRDefault="00685411">
      <w:pPr>
        <w:tabs>
          <w:tab w:val="left" w:pos="864"/>
          <w:tab w:val="left" w:pos="2160"/>
          <w:tab w:val="left" w:pos="8280"/>
        </w:tabs>
        <w:ind w:right="14"/>
        <w:rPr>
          <w:u w:val="single"/>
        </w:rPr>
      </w:pPr>
    </w:p>
    <w:p w:rsidR="00685411" w:rsidRDefault="001405FF">
      <w:pPr>
        <w:tabs>
          <w:tab w:val="left" w:pos="864"/>
          <w:tab w:val="left" w:pos="2160"/>
          <w:tab w:val="left" w:pos="8280"/>
        </w:tabs>
        <w:ind w:left="540" w:right="14"/>
        <w:jc w:val="both"/>
        <w:rPr>
          <w:b/>
        </w:rPr>
      </w:pPr>
      <w:r>
        <w:rPr>
          <w:b/>
          <w:u w:val="single"/>
        </w:rPr>
        <w:t>(e) Financial Lease Receivables</w:t>
      </w:r>
      <w:r>
        <w:rPr>
          <w:b/>
        </w:rPr>
        <w:t>:</w:t>
      </w:r>
    </w:p>
    <w:p w:rsidR="00685411" w:rsidRDefault="00685411">
      <w:pPr>
        <w:tabs>
          <w:tab w:val="left" w:pos="864"/>
          <w:tab w:val="left" w:pos="2160"/>
          <w:tab w:val="left" w:pos="8280"/>
        </w:tabs>
        <w:ind w:left="540" w:right="14"/>
        <w:jc w:val="both"/>
      </w:pPr>
    </w:p>
    <w:p w:rsidR="00685411" w:rsidRDefault="001405FF">
      <w:pPr>
        <w:tabs>
          <w:tab w:val="left" w:pos="864"/>
          <w:tab w:val="left" w:pos="2160"/>
          <w:tab w:val="left" w:pos="8280"/>
        </w:tabs>
        <w:ind w:left="540" w:right="14"/>
        <w:jc w:val="both"/>
      </w:pPr>
      <w:r>
        <w:t>Aggregate of interest and principal gross lease rent payments are refl</w:t>
      </w:r>
      <w:r>
        <w:t>ected in “lease receivables” account. The excess of aggregate lease rentals plus the estimated residual value over the cost of the leased asset constitutes the interest and reflected as “unearned income”.</w:t>
      </w:r>
    </w:p>
    <w:p w:rsidR="00685411" w:rsidRDefault="00685411">
      <w:pPr>
        <w:tabs>
          <w:tab w:val="left" w:pos="864"/>
          <w:tab w:val="left" w:pos="2160"/>
          <w:tab w:val="left" w:pos="8280"/>
        </w:tabs>
        <w:ind w:left="540" w:right="14"/>
        <w:jc w:val="both"/>
        <w:rPr>
          <w:u w:val="single"/>
        </w:rPr>
      </w:pPr>
    </w:p>
    <w:p w:rsidR="00685411" w:rsidRDefault="001405FF">
      <w:pPr>
        <w:tabs>
          <w:tab w:val="left" w:pos="864"/>
          <w:tab w:val="left" w:pos="2160"/>
          <w:tab w:val="left" w:pos="8280"/>
        </w:tabs>
        <w:ind w:left="540" w:right="14"/>
        <w:rPr>
          <w:b/>
          <w:u w:val="single"/>
        </w:rPr>
      </w:pPr>
      <w:r>
        <w:rPr>
          <w:b/>
          <w:u w:val="single"/>
        </w:rPr>
        <w:t>(f) Fixed Assets and Depreciation:</w:t>
      </w:r>
    </w:p>
    <w:p w:rsidR="00685411" w:rsidRDefault="00685411">
      <w:pPr>
        <w:tabs>
          <w:tab w:val="left" w:pos="864"/>
          <w:tab w:val="left" w:pos="2160"/>
          <w:tab w:val="left" w:pos="8280"/>
        </w:tabs>
        <w:ind w:left="540" w:right="14"/>
        <w:jc w:val="both"/>
      </w:pPr>
    </w:p>
    <w:p w:rsidR="00685411" w:rsidRDefault="001405FF">
      <w:pPr>
        <w:tabs>
          <w:tab w:val="left" w:pos="864"/>
          <w:tab w:val="left" w:pos="2160"/>
          <w:tab w:val="left" w:pos="8280"/>
        </w:tabs>
        <w:ind w:left="540" w:right="14"/>
        <w:jc w:val="both"/>
      </w:pPr>
      <w:r>
        <w:t>Fixed assets a</w:t>
      </w:r>
      <w:r>
        <w:t>re reflected at restated costs. Depreciation is provided on the restated amounts of fixed assets using double declining or the straight-line method.  Depreciation rates approximate the rates, which correspond to the economic lives of the related assets and</w:t>
      </w:r>
      <w:r>
        <w:t xml:space="preserve"> are as follows:</w:t>
      </w:r>
    </w:p>
    <w:p w:rsidR="00685411" w:rsidRDefault="00685411">
      <w:pPr>
        <w:tabs>
          <w:tab w:val="left" w:pos="864"/>
          <w:tab w:val="left" w:pos="2160"/>
          <w:tab w:val="left" w:pos="8280"/>
        </w:tabs>
        <w:ind w:left="567" w:right="14"/>
      </w:pPr>
    </w:p>
    <w:tbl>
      <w:tblPr>
        <w:tblW w:w="0" w:type="auto"/>
        <w:tblInd w:w="1101" w:type="dxa"/>
        <w:tblLayout w:type="fixed"/>
        <w:tblLook w:val="0000" w:firstRow="0" w:lastRow="0" w:firstColumn="0" w:lastColumn="0" w:noHBand="0" w:noVBand="0"/>
      </w:tblPr>
      <w:tblGrid>
        <w:gridCol w:w="3510"/>
        <w:gridCol w:w="270"/>
        <w:gridCol w:w="3957"/>
      </w:tblGrid>
      <w:tr w:rsidR="00685411">
        <w:tc>
          <w:tcPr>
            <w:tcW w:w="3510" w:type="dxa"/>
          </w:tcPr>
          <w:p w:rsidR="00685411" w:rsidRDefault="00685411">
            <w:pPr>
              <w:tabs>
                <w:tab w:val="left" w:pos="864"/>
                <w:tab w:val="left" w:pos="2160"/>
                <w:tab w:val="left" w:pos="8280"/>
              </w:tabs>
              <w:ind w:right="14"/>
            </w:pPr>
          </w:p>
        </w:tc>
        <w:tc>
          <w:tcPr>
            <w:tcW w:w="270" w:type="dxa"/>
          </w:tcPr>
          <w:p w:rsidR="00685411" w:rsidRDefault="00685411">
            <w:pPr>
              <w:tabs>
                <w:tab w:val="left" w:pos="864"/>
                <w:tab w:val="left" w:pos="2160"/>
                <w:tab w:val="left" w:pos="8280"/>
              </w:tabs>
              <w:ind w:right="14"/>
            </w:pPr>
          </w:p>
        </w:tc>
        <w:tc>
          <w:tcPr>
            <w:tcW w:w="3957" w:type="dxa"/>
            <w:tcBorders>
              <w:bottom w:val="single" w:sz="4" w:space="0" w:color="auto"/>
            </w:tcBorders>
          </w:tcPr>
          <w:p w:rsidR="00685411" w:rsidRDefault="001405FF">
            <w:pPr>
              <w:tabs>
                <w:tab w:val="left" w:pos="864"/>
                <w:tab w:val="left" w:pos="2160"/>
                <w:tab w:val="left" w:pos="8280"/>
              </w:tabs>
              <w:ind w:right="14"/>
              <w:jc w:val="center"/>
            </w:pPr>
            <w:r>
              <w:t>Year</w:t>
            </w:r>
          </w:p>
        </w:tc>
      </w:tr>
      <w:tr w:rsidR="00685411">
        <w:tc>
          <w:tcPr>
            <w:tcW w:w="3510" w:type="dxa"/>
          </w:tcPr>
          <w:p w:rsidR="00685411" w:rsidRDefault="001405FF">
            <w:pPr>
              <w:tabs>
                <w:tab w:val="left" w:pos="864"/>
                <w:tab w:val="left" w:pos="2160"/>
                <w:tab w:val="left" w:pos="8280"/>
              </w:tabs>
              <w:ind w:right="14"/>
            </w:pPr>
            <w:r>
              <w:t>Buildings</w:t>
            </w:r>
          </w:p>
        </w:tc>
        <w:tc>
          <w:tcPr>
            <w:tcW w:w="270" w:type="dxa"/>
          </w:tcPr>
          <w:p w:rsidR="00685411" w:rsidRDefault="00685411">
            <w:pPr>
              <w:tabs>
                <w:tab w:val="left" w:pos="864"/>
                <w:tab w:val="left" w:pos="2160"/>
                <w:tab w:val="left" w:pos="8280"/>
              </w:tabs>
              <w:ind w:right="14"/>
            </w:pPr>
          </w:p>
        </w:tc>
        <w:tc>
          <w:tcPr>
            <w:tcW w:w="3957" w:type="dxa"/>
          </w:tcPr>
          <w:p w:rsidR="00685411" w:rsidRDefault="001405FF">
            <w:pPr>
              <w:tabs>
                <w:tab w:val="left" w:pos="864"/>
                <w:tab w:val="left" w:pos="2160"/>
                <w:tab w:val="left" w:pos="8280"/>
              </w:tabs>
              <w:ind w:right="14"/>
              <w:jc w:val="center"/>
            </w:pPr>
            <w:r>
              <w:t>50</w:t>
            </w:r>
          </w:p>
        </w:tc>
      </w:tr>
      <w:tr w:rsidR="00685411">
        <w:tc>
          <w:tcPr>
            <w:tcW w:w="3510" w:type="dxa"/>
          </w:tcPr>
          <w:p w:rsidR="00685411" w:rsidRDefault="001405FF">
            <w:pPr>
              <w:tabs>
                <w:tab w:val="left" w:pos="864"/>
                <w:tab w:val="left" w:pos="2160"/>
                <w:tab w:val="left" w:pos="8280"/>
              </w:tabs>
              <w:ind w:right="14"/>
            </w:pPr>
            <w:r>
              <w:t>Motor vehicles</w:t>
            </w:r>
          </w:p>
        </w:tc>
        <w:tc>
          <w:tcPr>
            <w:tcW w:w="270" w:type="dxa"/>
          </w:tcPr>
          <w:p w:rsidR="00685411" w:rsidRDefault="00685411">
            <w:pPr>
              <w:tabs>
                <w:tab w:val="left" w:pos="864"/>
                <w:tab w:val="left" w:pos="2160"/>
                <w:tab w:val="left" w:pos="8280"/>
              </w:tabs>
              <w:ind w:right="14"/>
            </w:pPr>
          </w:p>
        </w:tc>
        <w:tc>
          <w:tcPr>
            <w:tcW w:w="3957" w:type="dxa"/>
          </w:tcPr>
          <w:p w:rsidR="00685411" w:rsidRDefault="001405FF">
            <w:pPr>
              <w:tabs>
                <w:tab w:val="left" w:pos="864"/>
                <w:tab w:val="left" w:pos="2160"/>
                <w:tab w:val="left" w:pos="8280"/>
              </w:tabs>
              <w:ind w:right="14"/>
              <w:jc w:val="center"/>
            </w:pPr>
            <w:r>
              <w:t>5</w:t>
            </w:r>
          </w:p>
        </w:tc>
      </w:tr>
      <w:tr w:rsidR="00685411">
        <w:tc>
          <w:tcPr>
            <w:tcW w:w="3510" w:type="dxa"/>
          </w:tcPr>
          <w:p w:rsidR="00685411" w:rsidRDefault="001405FF">
            <w:pPr>
              <w:tabs>
                <w:tab w:val="left" w:pos="864"/>
                <w:tab w:val="left" w:pos="2160"/>
                <w:tab w:val="left" w:pos="8280"/>
              </w:tabs>
              <w:ind w:right="14"/>
            </w:pPr>
            <w:r>
              <w:t>Furniture and fixtures and vaults</w:t>
            </w:r>
          </w:p>
        </w:tc>
        <w:tc>
          <w:tcPr>
            <w:tcW w:w="270" w:type="dxa"/>
          </w:tcPr>
          <w:p w:rsidR="00685411" w:rsidRDefault="00685411">
            <w:pPr>
              <w:tabs>
                <w:tab w:val="left" w:pos="864"/>
                <w:tab w:val="left" w:pos="2160"/>
                <w:tab w:val="left" w:pos="8280"/>
              </w:tabs>
              <w:ind w:right="14"/>
            </w:pPr>
          </w:p>
        </w:tc>
        <w:tc>
          <w:tcPr>
            <w:tcW w:w="3957" w:type="dxa"/>
          </w:tcPr>
          <w:p w:rsidR="00685411" w:rsidRDefault="001405FF">
            <w:pPr>
              <w:tabs>
                <w:tab w:val="left" w:pos="864"/>
                <w:tab w:val="left" w:pos="2160"/>
                <w:tab w:val="left" w:pos="8280"/>
              </w:tabs>
              <w:ind w:right="14"/>
              <w:jc w:val="center"/>
            </w:pPr>
            <w:r>
              <w:t>5</w:t>
            </w:r>
          </w:p>
        </w:tc>
      </w:tr>
      <w:tr w:rsidR="00685411">
        <w:tc>
          <w:tcPr>
            <w:tcW w:w="3510" w:type="dxa"/>
          </w:tcPr>
          <w:p w:rsidR="00685411" w:rsidRDefault="001405FF">
            <w:pPr>
              <w:tabs>
                <w:tab w:val="left" w:pos="864"/>
                <w:tab w:val="left" w:pos="2160"/>
                <w:tab w:val="left" w:pos="8280"/>
              </w:tabs>
              <w:ind w:right="14"/>
            </w:pPr>
            <w:r>
              <w:t>Leasehold improvements</w:t>
            </w:r>
          </w:p>
        </w:tc>
        <w:tc>
          <w:tcPr>
            <w:tcW w:w="270" w:type="dxa"/>
          </w:tcPr>
          <w:p w:rsidR="00685411" w:rsidRDefault="00685411">
            <w:pPr>
              <w:tabs>
                <w:tab w:val="left" w:pos="864"/>
                <w:tab w:val="left" w:pos="2160"/>
                <w:tab w:val="left" w:pos="8280"/>
              </w:tabs>
              <w:ind w:right="14"/>
            </w:pPr>
          </w:p>
        </w:tc>
        <w:tc>
          <w:tcPr>
            <w:tcW w:w="3957" w:type="dxa"/>
          </w:tcPr>
          <w:p w:rsidR="00685411" w:rsidRDefault="001405FF">
            <w:pPr>
              <w:tabs>
                <w:tab w:val="left" w:pos="864"/>
                <w:tab w:val="left" w:pos="2160"/>
                <w:tab w:val="left" w:pos="8280"/>
              </w:tabs>
              <w:ind w:right="14"/>
              <w:jc w:val="center"/>
            </w:pPr>
            <w:r>
              <w:t>Not less than 5 years - Lease period</w:t>
            </w:r>
          </w:p>
        </w:tc>
      </w:tr>
      <w:tr w:rsidR="00685411">
        <w:tc>
          <w:tcPr>
            <w:tcW w:w="3510" w:type="dxa"/>
          </w:tcPr>
          <w:p w:rsidR="00685411" w:rsidRDefault="00685411">
            <w:pPr>
              <w:tabs>
                <w:tab w:val="left" w:pos="864"/>
                <w:tab w:val="left" w:pos="2160"/>
                <w:tab w:val="left" w:pos="8280"/>
              </w:tabs>
              <w:ind w:right="14"/>
            </w:pPr>
          </w:p>
        </w:tc>
        <w:tc>
          <w:tcPr>
            <w:tcW w:w="270" w:type="dxa"/>
          </w:tcPr>
          <w:p w:rsidR="00685411" w:rsidRDefault="00685411">
            <w:pPr>
              <w:tabs>
                <w:tab w:val="left" w:pos="864"/>
                <w:tab w:val="left" w:pos="2160"/>
                <w:tab w:val="left" w:pos="8280"/>
              </w:tabs>
              <w:ind w:right="14"/>
            </w:pPr>
          </w:p>
        </w:tc>
        <w:tc>
          <w:tcPr>
            <w:tcW w:w="3957" w:type="dxa"/>
          </w:tcPr>
          <w:p w:rsidR="00685411" w:rsidRDefault="00685411">
            <w:pPr>
              <w:tabs>
                <w:tab w:val="left" w:pos="864"/>
                <w:tab w:val="left" w:pos="2160"/>
                <w:tab w:val="left" w:pos="8280"/>
              </w:tabs>
              <w:ind w:right="14"/>
              <w:jc w:val="center"/>
            </w:pPr>
          </w:p>
        </w:tc>
      </w:tr>
    </w:tbl>
    <w:p w:rsidR="00685411" w:rsidRDefault="00685411">
      <w:pPr>
        <w:tabs>
          <w:tab w:val="left" w:pos="864"/>
          <w:tab w:val="left" w:pos="2160"/>
          <w:tab w:val="left" w:pos="8280"/>
        </w:tabs>
        <w:ind w:left="540" w:right="14" w:hanging="540"/>
        <w:jc w:val="center"/>
      </w:pPr>
    </w:p>
    <w:p w:rsidR="00685411" w:rsidRDefault="001405FF">
      <w:pPr>
        <w:tabs>
          <w:tab w:val="left" w:pos="864"/>
          <w:tab w:val="left" w:pos="2160"/>
          <w:tab w:val="left" w:pos="8280"/>
        </w:tabs>
        <w:ind w:left="540" w:right="14" w:hanging="540"/>
        <w:jc w:val="center"/>
      </w:pPr>
      <w:r>
        <w:br w:type="page"/>
        <w:t>-8-</w:t>
      </w:r>
    </w:p>
    <w:p w:rsidR="00685411" w:rsidRDefault="00685411">
      <w:pPr>
        <w:tabs>
          <w:tab w:val="left" w:pos="864"/>
          <w:tab w:val="left" w:pos="2160"/>
          <w:tab w:val="left" w:pos="8280"/>
        </w:tabs>
        <w:ind w:left="540" w:right="14" w:hanging="540"/>
        <w:jc w:val="center"/>
      </w:pPr>
    </w:p>
    <w:p w:rsidR="00685411" w:rsidRDefault="001405FF">
      <w:pPr>
        <w:tabs>
          <w:tab w:val="left" w:pos="864"/>
          <w:tab w:val="left" w:pos="2160"/>
          <w:tab w:val="left" w:pos="8280"/>
        </w:tabs>
        <w:ind w:left="540" w:right="14"/>
        <w:jc w:val="center"/>
        <w:rPr>
          <w:u w:val="single"/>
        </w:rPr>
      </w:pPr>
      <w:r>
        <w:t>(CONVENIENCE TRANSLATION OF A REPORT AND FINANCIAL STATEMENTS ORIGINALLY ISSUED IN TU</w:t>
      </w:r>
      <w:r>
        <w:t>RKISH – SEE NOTE 9)</w:t>
      </w:r>
    </w:p>
    <w:p w:rsidR="00685411" w:rsidRDefault="00685411">
      <w:pPr>
        <w:tabs>
          <w:tab w:val="left" w:pos="864"/>
          <w:tab w:val="left" w:pos="2160"/>
          <w:tab w:val="left" w:pos="8280"/>
        </w:tabs>
        <w:ind w:right="14"/>
        <w:rPr>
          <w:u w:val="single"/>
        </w:rPr>
      </w:pPr>
    </w:p>
    <w:p w:rsidR="00685411" w:rsidRDefault="001405FF">
      <w:pPr>
        <w:tabs>
          <w:tab w:val="left" w:pos="2160"/>
          <w:tab w:val="left" w:pos="8280"/>
        </w:tabs>
        <w:ind w:left="540" w:right="14"/>
        <w:jc w:val="both"/>
        <w:rPr>
          <w:b/>
          <w:u w:val="single"/>
        </w:rPr>
      </w:pPr>
      <w:r>
        <w:rPr>
          <w:b/>
          <w:u w:val="single"/>
        </w:rPr>
        <w:t>(g) Foreign Currency Transactions:</w:t>
      </w:r>
    </w:p>
    <w:p w:rsidR="00685411" w:rsidRDefault="00685411">
      <w:pPr>
        <w:tabs>
          <w:tab w:val="left" w:pos="2160"/>
          <w:tab w:val="left" w:pos="8280"/>
        </w:tabs>
        <w:ind w:left="540" w:right="14"/>
        <w:jc w:val="both"/>
      </w:pPr>
    </w:p>
    <w:p w:rsidR="00685411" w:rsidRDefault="001405FF">
      <w:pPr>
        <w:tabs>
          <w:tab w:val="left" w:pos="2160"/>
          <w:tab w:val="left" w:pos="8280"/>
        </w:tabs>
        <w:ind w:left="540" w:right="14"/>
        <w:jc w:val="both"/>
      </w:pPr>
      <w:r>
        <w:t>Gains and losses arising from foreign currency transactions are reflected in the income statements as realized during the course of the year.  Foreign currency assets and liabilities at period end ha</w:t>
      </w:r>
      <w:r>
        <w:t>ve been translated into Turkish lira at period-end foreign exchange rates, the effects of which are also recorded in the income statements as foreign exchange gain or loss.  As of September 30, 2002 the buying rate of exchange announced by the Bank for the</w:t>
      </w:r>
      <w:r>
        <w:t xml:space="preserve"> US$ is TL1,650,456.</w:t>
      </w:r>
    </w:p>
    <w:p w:rsidR="00685411" w:rsidRDefault="00685411">
      <w:pPr>
        <w:tabs>
          <w:tab w:val="left" w:pos="2160"/>
          <w:tab w:val="left" w:pos="8280"/>
        </w:tabs>
        <w:ind w:left="540" w:right="14"/>
        <w:jc w:val="both"/>
      </w:pPr>
    </w:p>
    <w:p w:rsidR="00685411" w:rsidRDefault="001405FF">
      <w:pPr>
        <w:tabs>
          <w:tab w:val="left" w:pos="2160"/>
          <w:tab w:val="left" w:pos="8280"/>
        </w:tabs>
        <w:ind w:left="540" w:right="14"/>
        <w:jc w:val="both"/>
      </w:pPr>
      <w:r>
        <w:t>The financial statements of foreign entities which are included in consolidation are translated with the Parent’s year end foreign exchange rate for the balance sheet and the period average foreign exchange rate for the income stateme</w:t>
      </w:r>
      <w:r>
        <w:t xml:space="preserve">nt up to September 30, 2002. The difference derived from the translation of income statement items by the period average foreign exchange rate is classified as valuation differences in the accompanying consolidated balance sheet.  </w:t>
      </w:r>
    </w:p>
    <w:p w:rsidR="00685411" w:rsidRDefault="00685411">
      <w:pPr>
        <w:tabs>
          <w:tab w:val="left" w:pos="864"/>
          <w:tab w:val="left" w:pos="2160"/>
          <w:tab w:val="left" w:pos="8280"/>
        </w:tabs>
        <w:ind w:right="14"/>
        <w:rPr>
          <w:u w:val="single"/>
        </w:rPr>
      </w:pPr>
    </w:p>
    <w:p w:rsidR="00685411" w:rsidRDefault="001405FF">
      <w:pPr>
        <w:tabs>
          <w:tab w:val="left" w:pos="2160"/>
          <w:tab w:val="left" w:pos="8280"/>
        </w:tabs>
        <w:ind w:left="540" w:right="14"/>
        <w:jc w:val="both"/>
        <w:rPr>
          <w:b/>
          <w:u w:val="single"/>
        </w:rPr>
      </w:pPr>
      <w:r>
        <w:rPr>
          <w:b/>
          <w:u w:val="single"/>
        </w:rPr>
        <w:t>(h) Deferred Taxation:</w:t>
      </w:r>
    </w:p>
    <w:p w:rsidR="00685411" w:rsidRDefault="00685411">
      <w:pPr>
        <w:tabs>
          <w:tab w:val="left" w:pos="2160"/>
          <w:tab w:val="left" w:pos="8280"/>
        </w:tabs>
        <w:ind w:left="540" w:right="14"/>
        <w:jc w:val="both"/>
      </w:pPr>
    </w:p>
    <w:p w:rsidR="00685411" w:rsidRDefault="001405FF">
      <w:pPr>
        <w:tabs>
          <w:tab w:val="left" w:pos="2160"/>
          <w:tab w:val="left" w:pos="8280"/>
        </w:tabs>
        <w:ind w:left="540" w:right="14"/>
        <w:jc w:val="both"/>
      </w:pPr>
      <w:r>
        <w:t>Certain income and expense items are taxable in periods different than those in which they are recognized in the accompanying financial statements (timing differences).  The Bank provided reserve for deferred tax in the accompanying financial statements b</w:t>
      </w:r>
      <w:r>
        <w:t>ased on the liability method.</w:t>
      </w:r>
    </w:p>
    <w:p w:rsidR="00685411" w:rsidRDefault="00685411">
      <w:pPr>
        <w:tabs>
          <w:tab w:val="left" w:pos="2160"/>
          <w:tab w:val="left" w:pos="8280"/>
        </w:tabs>
        <w:ind w:right="14"/>
        <w:jc w:val="both"/>
      </w:pPr>
    </w:p>
    <w:p w:rsidR="00685411" w:rsidRDefault="001405FF">
      <w:pPr>
        <w:tabs>
          <w:tab w:val="left" w:pos="2160"/>
          <w:tab w:val="left" w:pos="8280"/>
        </w:tabs>
        <w:ind w:left="540" w:right="14"/>
        <w:jc w:val="both"/>
      </w:pPr>
      <w:r>
        <w:t>As of September 30, 2002, the Bank, subsidiaries and participations which were included in consolidation provided full reserve  (100%) for deferred tax liability.</w:t>
      </w:r>
    </w:p>
    <w:p w:rsidR="00685411" w:rsidRDefault="00685411">
      <w:pPr>
        <w:tabs>
          <w:tab w:val="left" w:pos="2160"/>
          <w:tab w:val="left" w:pos="8280"/>
        </w:tabs>
        <w:ind w:left="540" w:right="14"/>
        <w:jc w:val="both"/>
      </w:pPr>
    </w:p>
    <w:p w:rsidR="00685411" w:rsidRDefault="001405FF">
      <w:pPr>
        <w:tabs>
          <w:tab w:val="left" w:pos="2160"/>
          <w:tab w:val="left" w:pos="8280"/>
        </w:tabs>
        <w:ind w:left="540" w:right="14"/>
        <w:rPr>
          <w:b/>
          <w:u w:val="single"/>
        </w:rPr>
      </w:pPr>
      <w:r>
        <w:rPr>
          <w:b/>
          <w:u w:val="single"/>
        </w:rPr>
        <w:t>(i) Reserve for Possible Loan Losses and Other Receivables:</w:t>
      </w:r>
    </w:p>
    <w:p w:rsidR="00685411" w:rsidRDefault="00685411">
      <w:pPr>
        <w:tabs>
          <w:tab w:val="left" w:pos="2160"/>
          <w:tab w:val="left" w:pos="8280"/>
        </w:tabs>
        <w:ind w:left="540" w:right="14"/>
      </w:pPr>
    </w:p>
    <w:p w:rsidR="00685411" w:rsidRDefault="001405FF">
      <w:pPr>
        <w:ind w:left="540"/>
        <w:jc w:val="both"/>
      </w:pPr>
      <w:r>
        <w:t>Reserve for loans in follow up are provided with respect to the Banking Law No.4389 as revised by Law Number 4672 and 4491, Article 3, Sub Article 11 and Article 11, Sub Article 12 published on the Official Gazette No. 24448 dated 30.06.2001 on “Methods an</w:t>
      </w:r>
      <w:r>
        <w:t>d Principles for the Determination of Loans and Other Receivables to be Reserved for and Allocation of Reserves”.</w:t>
      </w:r>
    </w:p>
    <w:p w:rsidR="00685411" w:rsidRDefault="00685411">
      <w:pPr>
        <w:ind w:left="540"/>
        <w:jc w:val="both"/>
      </w:pPr>
    </w:p>
    <w:p w:rsidR="00685411" w:rsidRDefault="001405FF">
      <w:pPr>
        <w:ind w:left="540"/>
        <w:jc w:val="both"/>
      </w:pPr>
      <w:r>
        <w:t>Furthermore, a general reserve of 0.5% is being provided for the cash loans and other receivables and 0.1 % is provided for non-cash loans.</w:t>
      </w:r>
    </w:p>
    <w:p w:rsidR="00685411" w:rsidRDefault="00685411">
      <w:pPr>
        <w:tabs>
          <w:tab w:val="left" w:pos="2160"/>
          <w:tab w:val="left" w:pos="8280"/>
        </w:tabs>
        <w:ind w:right="14"/>
      </w:pPr>
    </w:p>
    <w:p w:rsidR="00685411" w:rsidRDefault="001405FF">
      <w:pPr>
        <w:tabs>
          <w:tab w:val="left" w:pos="864"/>
          <w:tab w:val="left" w:pos="2160"/>
          <w:tab w:val="left" w:pos="8280"/>
        </w:tabs>
        <w:ind w:left="540" w:right="14"/>
        <w:rPr>
          <w:b/>
          <w:u w:val="single"/>
        </w:rPr>
      </w:pPr>
      <w:r>
        <w:rPr>
          <w:b/>
          <w:u w:val="single"/>
        </w:rPr>
        <w:t>(j) Trust Assets:</w:t>
      </w:r>
    </w:p>
    <w:p w:rsidR="00685411" w:rsidRDefault="00685411">
      <w:pPr>
        <w:tabs>
          <w:tab w:val="left" w:pos="864"/>
          <w:tab w:val="left" w:pos="2160"/>
          <w:tab w:val="left" w:pos="8280"/>
        </w:tabs>
        <w:ind w:left="540" w:right="14"/>
      </w:pPr>
    </w:p>
    <w:p w:rsidR="00685411" w:rsidRDefault="001405FF">
      <w:pPr>
        <w:tabs>
          <w:tab w:val="left" w:pos="864"/>
          <w:tab w:val="left" w:pos="2160"/>
          <w:tab w:val="left" w:pos="8280"/>
        </w:tabs>
        <w:ind w:left="540" w:right="14"/>
        <w:jc w:val="both"/>
      </w:pPr>
      <w:r>
        <w:t>Assets, other than cash deposits, held by the Bank in fiduciary, agency or custodian capacities for its customers are not included in the accompanying balance sheets, since such items are not assets of the Bank.</w:t>
      </w:r>
    </w:p>
    <w:p w:rsidR="00685411" w:rsidRDefault="001405FF">
      <w:pPr>
        <w:tabs>
          <w:tab w:val="left" w:pos="2160"/>
          <w:tab w:val="left" w:pos="8280"/>
        </w:tabs>
        <w:ind w:left="540" w:right="14"/>
      </w:pPr>
      <w:r>
        <w:br w:type="page"/>
      </w:r>
    </w:p>
    <w:p w:rsidR="00685411" w:rsidRDefault="001405FF">
      <w:pPr>
        <w:tabs>
          <w:tab w:val="left" w:pos="2160"/>
          <w:tab w:val="left" w:pos="8280"/>
        </w:tabs>
        <w:ind w:left="540" w:right="14" w:hanging="450"/>
        <w:jc w:val="center"/>
      </w:pPr>
      <w:r>
        <w:t>-9-</w:t>
      </w:r>
    </w:p>
    <w:p w:rsidR="00685411" w:rsidRDefault="00685411">
      <w:pPr>
        <w:tabs>
          <w:tab w:val="left" w:pos="2160"/>
          <w:tab w:val="left" w:pos="8280"/>
        </w:tabs>
        <w:ind w:left="540" w:right="14" w:hanging="450"/>
        <w:jc w:val="center"/>
      </w:pPr>
    </w:p>
    <w:p w:rsidR="00685411" w:rsidRDefault="001405FF">
      <w:pPr>
        <w:tabs>
          <w:tab w:val="left" w:pos="864"/>
          <w:tab w:val="left" w:pos="2160"/>
          <w:tab w:val="left" w:pos="8280"/>
        </w:tabs>
        <w:ind w:left="540" w:right="14"/>
        <w:jc w:val="center"/>
        <w:rPr>
          <w:u w:val="single"/>
        </w:rPr>
      </w:pPr>
      <w:r>
        <w:t>(CONVENIENCE TRANS</w:t>
      </w:r>
      <w:r>
        <w:t>LATION OF A REPORT AND FINANCIAL STATEMENTS ORIGINALLY ISSUED IN TURKISH – SEE NOTE 9)</w:t>
      </w:r>
    </w:p>
    <w:p w:rsidR="00685411" w:rsidRDefault="00685411">
      <w:pPr>
        <w:tabs>
          <w:tab w:val="left" w:pos="2160"/>
          <w:tab w:val="left" w:pos="8280"/>
        </w:tabs>
        <w:ind w:right="14"/>
      </w:pPr>
    </w:p>
    <w:p w:rsidR="00685411" w:rsidRDefault="001405FF">
      <w:pPr>
        <w:tabs>
          <w:tab w:val="left" w:pos="864"/>
          <w:tab w:val="left" w:pos="2160"/>
          <w:tab w:val="left" w:pos="8280"/>
        </w:tabs>
        <w:ind w:left="540" w:right="14"/>
        <w:jc w:val="both"/>
        <w:rPr>
          <w:b/>
          <w:u w:val="single"/>
        </w:rPr>
      </w:pPr>
      <w:r>
        <w:rPr>
          <w:b/>
          <w:u w:val="single"/>
        </w:rPr>
        <w:t>(k) Retirement Pay:</w:t>
      </w:r>
    </w:p>
    <w:p w:rsidR="00685411" w:rsidRDefault="00685411">
      <w:pPr>
        <w:tabs>
          <w:tab w:val="left" w:pos="864"/>
          <w:tab w:val="left" w:pos="2160"/>
          <w:tab w:val="left" w:pos="8280"/>
        </w:tabs>
        <w:ind w:left="540" w:right="14"/>
        <w:jc w:val="both"/>
      </w:pPr>
    </w:p>
    <w:p w:rsidR="00685411" w:rsidRDefault="001405FF">
      <w:pPr>
        <w:tabs>
          <w:tab w:val="left" w:pos="864"/>
          <w:tab w:val="left" w:pos="2160"/>
          <w:tab w:val="left" w:pos="8280"/>
        </w:tabs>
        <w:ind w:left="540" w:right="14"/>
        <w:jc w:val="both"/>
      </w:pPr>
      <w:r>
        <w:t>Retirement pay liability is computed and reflected in the accompanying financial statements on a current basis as it is earned by the serving emplo</w:t>
      </w:r>
      <w:r>
        <w:t xml:space="preserve">yees.  The liability amount represents the liability of the Bank with respect to eligible employees as computed based on the experience factors of the personnel terminated and the calculation method prescribed in the “Accounting Standards for Banks”. Such </w:t>
      </w:r>
      <w:r>
        <w:t xml:space="preserve">liability is terminated when related personnel’s employment terminated. </w:t>
      </w:r>
    </w:p>
    <w:p w:rsidR="00685411" w:rsidRDefault="00685411">
      <w:pPr>
        <w:tabs>
          <w:tab w:val="left" w:pos="864"/>
          <w:tab w:val="left" w:pos="2160"/>
          <w:tab w:val="left" w:pos="8280"/>
        </w:tabs>
        <w:ind w:left="540" w:right="14"/>
        <w:jc w:val="both"/>
      </w:pPr>
    </w:p>
    <w:p w:rsidR="00685411" w:rsidRDefault="001405FF">
      <w:pPr>
        <w:tabs>
          <w:tab w:val="left" w:pos="864"/>
          <w:tab w:val="left" w:pos="2160"/>
          <w:tab w:val="left" w:pos="8280"/>
        </w:tabs>
        <w:ind w:left="540" w:right="14"/>
        <w:jc w:val="both"/>
      </w:pPr>
      <w:r>
        <w:t xml:space="preserve">Retirement pay liability is calculated based on retirement pay ceiling officially announced.  </w:t>
      </w:r>
    </w:p>
    <w:p w:rsidR="00685411" w:rsidRDefault="00685411">
      <w:pPr>
        <w:tabs>
          <w:tab w:val="left" w:pos="864"/>
          <w:tab w:val="left" w:pos="2160"/>
          <w:tab w:val="left" w:pos="8280"/>
        </w:tabs>
        <w:ind w:left="540" w:right="14"/>
        <w:jc w:val="both"/>
      </w:pPr>
    </w:p>
    <w:p w:rsidR="00685411" w:rsidRDefault="001405FF">
      <w:pPr>
        <w:tabs>
          <w:tab w:val="left" w:pos="864"/>
          <w:tab w:val="left" w:pos="2160"/>
          <w:tab w:val="left" w:pos="8280"/>
        </w:tabs>
        <w:ind w:left="540" w:right="14"/>
        <w:jc w:val="both"/>
      </w:pPr>
      <w:r>
        <w:t>The Bank does not have a pension fund for its employees.</w:t>
      </w:r>
    </w:p>
    <w:p w:rsidR="00685411" w:rsidRDefault="00685411">
      <w:pPr>
        <w:tabs>
          <w:tab w:val="left" w:pos="2160"/>
          <w:tab w:val="left" w:pos="8280"/>
        </w:tabs>
        <w:ind w:right="14"/>
      </w:pPr>
    </w:p>
    <w:p w:rsidR="00685411" w:rsidRDefault="001405FF">
      <w:pPr>
        <w:tabs>
          <w:tab w:val="left" w:pos="864"/>
          <w:tab w:val="left" w:pos="2160"/>
          <w:tab w:val="left" w:pos="8280"/>
        </w:tabs>
        <w:ind w:left="567" w:right="14"/>
        <w:rPr>
          <w:b/>
          <w:u w:val="single"/>
        </w:rPr>
      </w:pPr>
      <w:r>
        <w:rPr>
          <w:b/>
          <w:u w:val="single"/>
        </w:rPr>
        <w:t>(l) Consolidation:</w:t>
      </w:r>
    </w:p>
    <w:p w:rsidR="00685411" w:rsidRDefault="00685411">
      <w:pPr>
        <w:tabs>
          <w:tab w:val="left" w:pos="720"/>
          <w:tab w:val="left" w:pos="1584"/>
        </w:tabs>
        <w:ind w:left="570" w:right="14"/>
        <w:jc w:val="both"/>
      </w:pPr>
    </w:p>
    <w:p w:rsidR="00685411" w:rsidRDefault="001405FF">
      <w:pPr>
        <w:tabs>
          <w:tab w:val="left" w:pos="720"/>
          <w:tab w:val="left" w:pos="1584"/>
        </w:tabs>
        <w:ind w:left="570" w:right="14"/>
        <w:jc w:val="both"/>
      </w:pPr>
      <w:r>
        <w:t>The cons</w:t>
      </w:r>
      <w:r>
        <w:t>olidated balance sheet has been prepared by putting together the assets and liabilities of the financial institutions referred to in Note 1.  The principles of the consolidation followed in the preparation of the consolidated financial statements are as fo</w:t>
      </w:r>
      <w:r>
        <w:t>llows:</w:t>
      </w:r>
    </w:p>
    <w:p w:rsidR="00685411" w:rsidRDefault="00685411">
      <w:pPr>
        <w:tabs>
          <w:tab w:val="left" w:pos="720"/>
          <w:tab w:val="left" w:pos="1584"/>
        </w:tabs>
        <w:ind w:left="570" w:right="14"/>
        <w:jc w:val="both"/>
      </w:pPr>
    </w:p>
    <w:p w:rsidR="00685411" w:rsidRDefault="001405FF">
      <w:pPr>
        <w:ind w:left="540" w:right="14"/>
        <w:jc w:val="both"/>
      </w:pPr>
      <w:r>
        <w:t>The financial statements of the domestic subsidiaries that have been prepared in accordance with the Turkish Commercial Code, Financial Leasing Law and the generally accepted accounting principles issued by the Capital Market Board and the communiq</w:t>
      </w:r>
      <w:r>
        <w:t>ués proposing amendments to the related communiqués on the preparation of the financial statements and reports, and the financial statements of the foreign subsidiaries, which have been prepared in line with the local legislation and accounting standards i</w:t>
      </w:r>
      <w:r>
        <w:t>ncumbent in the country where they are incorporated, have been adjusted to comply with the “Accounting Standards for Banks” as defined per Article 13 of the Banking Law 4389 and the “Accounting Standard on Financial Statements at Hyperinflation Periods” co</w:t>
      </w:r>
      <w:r>
        <w:t>mmuniqué (No.14) published at Official Gazette numbered 24793 and dated June 22, 2002, which is related to the “Regulation of Accounting Applications” and effective from July 1, 2002.</w:t>
      </w:r>
    </w:p>
    <w:p w:rsidR="00685411" w:rsidRDefault="00685411">
      <w:pPr>
        <w:ind w:left="1080" w:right="14" w:hanging="540"/>
        <w:jc w:val="both"/>
      </w:pPr>
    </w:p>
    <w:p w:rsidR="00685411" w:rsidRDefault="001405FF">
      <w:pPr>
        <w:ind w:left="1080" w:right="14" w:hanging="540"/>
        <w:jc w:val="both"/>
      </w:pPr>
      <w:r>
        <w:t>i)</w:t>
      </w:r>
      <w:r>
        <w:tab/>
        <w:t>The parent company and the consolidated subsidiaries’ assets and lia</w:t>
      </w:r>
      <w:r>
        <w:t>bilities excluding shareholders equity are consolidated on a line-by-line basis.</w:t>
      </w:r>
    </w:p>
    <w:p w:rsidR="00685411" w:rsidRDefault="00685411">
      <w:pPr>
        <w:ind w:left="1080" w:right="14" w:hanging="540"/>
        <w:jc w:val="both"/>
      </w:pPr>
    </w:p>
    <w:p w:rsidR="00685411" w:rsidRDefault="001405FF">
      <w:pPr>
        <w:ind w:left="1080" w:right="14" w:hanging="540"/>
        <w:jc w:val="both"/>
      </w:pPr>
      <w:r>
        <w:t>ii)</w:t>
      </w:r>
      <w:r>
        <w:tab/>
        <w:t>All significant intercompany payables and receivables between consolidated companies have been eliminated.</w:t>
      </w:r>
    </w:p>
    <w:p w:rsidR="00685411" w:rsidRDefault="00685411">
      <w:pPr>
        <w:ind w:left="1080" w:right="14" w:hanging="540"/>
        <w:jc w:val="both"/>
      </w:pPr>
    </w:p>
    <w:p w:rsidR="00685411" w:rsidRDefault="001405FF">
      <w:pPr>
        <w:ind w:left="1080" w:right="14" w:hanging="540"/>
        <w:jc w:val="both"/>
      </w:pPr>
      <w:r>
        <w:t>iii)</w:t>
      </w:r>
      <w:r>
        <w:tab/>
        <w:t>All significant intercompany income and expense items bet</w:t>
      </w:r>
      <w:r>
        <w:t>ween consolidated companies have been eliminated.</w:t>
      </w:r>
    </w:p>
    <w:p w:rsidR="00685411" w:rsidRDefault="00685411">
      <w:pPr>
        <w:tabs>
          <w:tab w:val="left" w:pos="864"/>
          <w:tab w:val="left" w:pos="2160"/>
          <w:tab w:val="left" w:pos="8280"/>
        </w:tabs>
        <w:ind w:left="567" w:right="14"/>
        <w:jc w:val="both"/>
      </w:pPr>
    </w:p>
    <w:p w:rsidR="00685411" w:rsidRDefault="001405FF">
      <w:pPr>
        <w:tabs>
          <w:tab w:val="left" w:pos="2160"/>
          <w:tab w:val="left" w:pos="8280"/>
        </w:tabs>
        <w:ind w:left="1080" w:right="14" w:hanging="513"/>
        <w:jc w:val="both"/>
      </w:pPr>
      <w:r>
        <w:t>iv)</w:t>
      </w:r>
      <w:r>
        <w:tab/>
        <w:t>As of September 30, 2002, TL787 represents the share of minority in the group’s consolidated net income and TL17,895 represents the share of minority in the group’s consolidated equity.</w:t>
      </w:r>
    </w:p>
    <w:p w:rsidR="00685411" w:rsidRDefault="00685411">
      <w:pPr>
        <w:tabs>
          <w:tab w:val="left" w:pos="2160"/>
        </w:tabs>
        <w:ind w:right="14"/>
      </w:pPr>
    </w:p>
    <w:p w:rsidR="00685411" w:rsidRDefault="00685411">
      <w:pPr>
        <w:tabs>
          <w:tab w:val="left" w:pos="2160"/>
        </w:tabs>
        <w:ind w:right="14"/>
      </w:pPr>
    </w:p>
    <w:p w:rsidR="00685411" w:rsidRDefault="001405FF">
      <w:pPr>
        <w:tabs>
          <w:tab w:val="left" w:pos="1584"/>
        </w:tabs>
        <w:ind w:left="720" w:right="14" w:hanging="720"/>
        <w:rPr>
          <w:b/>
          <w:sz w:val="10"/>
        </w:rPr>
      </w:pPr>
      <w:r>
        <w:rPr>
          <w:b/>
        </w:rPr>
        <w:br w:type="page"/>
      </w:r>
    </w:p>
    <w:p w:rsidR="00685411" w:rsidRDefault="001405FF">
      <w:pPr>
        <w:tabs>
          <w:tab w:val="left" w:pos="864"/>
          <w:tab w:val="left" w:pos="2160"/>
          <w:tab w:val="left" w:pos="8280"/>
        </w:tabs>
        <w:ind w:left="540" w:right="14"/>
        <w:jc w:val="center"/>
      </w:pPr>
      <w:r>
        <w:t>-10-</w:t>
      </w:r>
    </w:p>
    <w:p w:rsidR="00685411" w:rsidRDefault="001405FF">
      <w:pPr>
        <w:tabs>
          <w:tab w:val="left" w:pos="864"/>
          <w:tab w:val="left" w:pos="2160"/>
          <w:tab w:val="left" w:pos="8280"/>
        </w:tabs>
        <w:ind w:left="540" w:right="14"/>
        <w:jc w:val="center"/>
        <w:rPr>
          <w:u w:val="single"/>
        </w:rPr>
      </w:pPr>
      <w:r>
        <w:t xml:space="preserve"> (CONV</w:t>
      </w:r>
      <w:r>
        <w:t>ENIENCE TRANSLATION OF A REPORT AND FINANCIAL STATEMENTS ORIGINALLY ISSUED IN TURKISH – SEE NOTE 9)</w:t>
      </w:r>
    </w:p>
    <w:p w:rsidR="00685411" w:rsidRDefault="00685411">
      <w:pPr>
        <w:tabs>
          <w:tab w:val="left" w:pos="1584"/>
        </w:tabs>
        <w:ind w:right="14"/>
        <w:rPr>
          <w:b/>
        </w:rPr>
      </w:pPr>
    </w:p>
    <w:p w:rsidR="00685411" w:rsidRDefault="001405FF">
      <w:pPr>
        <w:tabs>
          <w:tab w:val="left" w:pos="1584"/>
        </w:tabs>
        <w:ind w:left="567" w:right="14" w:hanging="567"/>
        <w:rPr>
          <w:b/>
        </w:rPr>
      </w:pPr>
      <w:r>
        <w:rPr>
          <w:b/>
        </w:rPr>
        <w:t>(10)   INDIVIDUAL ACCOUNTS OF CONSOLIDATED SUBSIDIARIES WHICH HAVE   BEEN ACCOUNTED FOR USING DIFFERENT ACCOUNTING PRINCIPLES THAN THE ACCOUNTING PRINCIPLE</w:t>
      </w:r>
      <w:r>
        <w:rPr>
          <w:b/>
        </w:rPr>
        <w:t>S TAKEN AS A BASIS FOR CONSOLIDATED FINANCIAL STATEMENTS THAT HAVE NOT BEEN CORRECTED IN</w:t>
      </w:r>
    </w:p>
    <w:p w:rsidR="00685411" w:rsidRDefault="001405FF">
      <w:pPr>
        <w:tabs>
          <w:tab w:val="left" w:pos="1584"/>
        </w:tabs>
        <w:ind w:left="567" w:right="14" w:hanging="720"/>
        <w:rPr>
          <w:b/>
          <w:u w:val="single"/>
        </w:rPr>
      </w:pPr>
      <w:r>
        <w:rPr>
          <w:b/>
          <w:u w:val="single"/>
        </w:rPr>
        <w:t xml:space="preserve">            CONSOLIDATION                                                                                                  :</w:t>
      </w:r>
    </w:p>
    <w:p w:rsidR="00685411" w:rsidRDefault="00685411">
      <w:pPr>
        <w:tabs>
          <w:tab w:val="left" w:pos="1584"/>
        </w:tabs>
        <w:ind w:left="1080" w:right="14" w:hanging="1080"/>
      </w:pPr>
    </w:p>
    <w:p w:rsidR="00685411" w:rsidRDefault="001405FF">
      <w:pPr>
        <w:tabs>
          <w:tab w:val="left" w:pos="1584"/>
        </w:tabs>
        <w:ind w:right="14"/>
      </w:pPr>
      <w:r>
        <w:t>None.</w:t>
      </w:r>
    </w:p>
    <w:p w:rsidR="00685411" w:rsidRDefault="00685411">
      <w:pPr>
        <w:tabs>
          <w:tab w:val="left" w:pos="1584"/>
        </w:tabs>
        <w:ind w:right="14"/>
      </w:pPr>
    </w:p>
    <w:p w:rsidR="00685411" w:rsidRDefault="001405FF">
      <w:pPr>
        <w:tabs>
          <w:tab w:val="left" w:pos="1584"/>
        </w:tabs>
        <w:ind w:right="14"/>
        <w:rPr>
          <w:b/>
          <w:u w:val="single"/>
        </w:rPr>
      </w:pPr>
      <w:r>
        <w:rPr>
          <w:b/>
        </w:rPr>
        <w:t>(11)  DIFFERENT ACCOUNTING POLICIE</w:t>
      </w:r>
      <w:r>
        <w:rPr>
          <w:b/>
        </w:rPr>
        <w:t xml:space="preserve">S APPLIED IN THE PREPARATION </w:t>
      </w:r>
      <w:r>
        <w:rPr>
          <w:b/>
          <w:u w:val="single"/>
        </w:rPr>
        <w:t>OF CONSOLIDATED FINANCIAL STATEMENTS BETWEEN PERIODS          :</w:t>
      </w:r>
    </w:p>
    <w:p w:rsidR="00685411" w:rsidRDefault="00685411">
      <w:pPr>
        <w:tabs>
          <w:tab w:val="left" w:pos="1584"/>
        </w:tabs>
        <w:ind w:right="14"/>
      </w:pPr>
    </w:p>
    <w:p w:rsidR="00685411" w:rsidRDefault="001405FF">
      <w:pPr>
        <w:ind w:right="14"/>
        <w:jc w:val="both"/>
      </w:pPr>
      <w:r>
        <w:t>The accounting principles taken as a basis for preparation of the September 30, 2002 consolidated financial statements are based on “Accounting Standards for Bank</w:t>
      </w:r>
      <w:r>
        <w:t>s” as defined per Article 13 of the Banking Law 4389 and the “Accounting Standard on Financial Statements at Hyperinflation Periods” communiqué (No.14) published at Official Gazette numbered 24793 and dated June 22, 2002, which is related to the “Regulatio</w:t>
      </w:r>
      <w:r>
        <w:t>n of Accounting Applications” and effective from July 1, 2002.</w:t>
      </w:r>
    </w:p>
    <w:p w:rsidR="00685411" w:rsidRDefault="00685411">
      <w:pPr>
        <w:tabs>
          <w:tab w:val="left" w:pos="864"/>
          <w:tab w:val="left" w:pos="1584"/>
          <w:tab w:val="left" w:pos="7056"/>
          <w:tab w:val="left" w:pos="8496"/>
        </w:tabs>
        <w:ind w:right="14"/>
      </w:pPr>
    </w:p>
    <w:p w:rsidR="00685411" w:rsidRDefault="001405FF">
      <w:pPr>
        <w:tabs>
          <w:tab w:val="left" w:pos="864"/>
          <w:tab w:val="left" w:pos="1584"/>
          <w:tab w:val="left" w:pos="7056"/>
          <w:tab w:val="left" w:pos="8496"/>
        </w:tabs>
        <w:ind w:right="14"/>
        <w:rPr>
          <w:b/>
        </w:rPr>
      </w:pPr>
      <w:r>
        <w:rPr>
          <w:b/>
        </w:rPr>
        <w:t>(12)  ASSUMPTIONS AND FORECASTS USED IN THE PREPARATION OF THE</w:t>
      </w:r>
    </w:p>
    <w:p w:rsidR="00685411" w:rsidRDefault="001405FF">
      <w:pPr>
        <w:tabs>
          <w:tab w:val="left" w:pos="864"/>
          <w:tab w:val="left" w:pos="1584"/>
          <w:tab w:val="left" w:pos="7056"/>
          <w:tab w:val="left" w:pos="8496"/>
        </w:tabs>
        <w:ind w:right="14"/>
        <w:rPr>
          <w:b/>
        </w:rPr>
      </w:pPr>
      <w:r>
        <w:rPr>
          <w:b/>
        </w:rPr>
        <w:t xml:space="preserve">         CONSOLIDATED FINANCIAL STATEMENTS DUE TO DIFFERENT </w:t>
      </w:r>
    </w:p>
    <w:p w:rsidR="00685411" w:rsidRDefault="001405FF">
      <w:pPr>
        <w:tabs>
          <w:tab w:val="left" w:pos="864"/>
          <w:tab w:val="left" w:pos="1584"/>
          <w:tab w:val="left" w:pos="7056"/>
          <w:tab w:val="left" w:pos="8496"/>
        </w:tabs>
        <w:ind w:right="14"/>
        <w:rPr>
          <w:b/>
          <w:u w:val="single"/>
        </w:rPr>
      </w:pPr>
      <w:r>
        <w:rPr>
          <w:b/>
          <w:u w:val="single"/>
        </w:rPr>
        <w:t xml:space="preserve">         ACCOUNTING POLICIES APPLIED                                </w:t>
      </w:r>
      <w:r>
        <w:rPr>
          <w:b/>
          <w:u w:val="single"/>
        </w:rPr>
        <w:t xml:space="preserve">                           :</w:t>
      </w:r>
    </w:p>
    <w:p w:rsidR="00685411" w:rsidRDefault="00685411">
      <w:pPr>
        <w:tabs>
          <w:tab w:val="left" w:pos="864"/>
          <w:tab w:val="left" w:pos="1584"/>
          <w:tab w:val="left" w:pos="7056"/>
          <w:tab w:val="left" w:pos="8496"/>
        </w:tabs>
        <w:ind w:right="14"/>
      </w:pPr>
    </w:p>
    <w:p w:rsidR="00685411" w:rsidRDefault="001405FF">
      <w:pPr>
        <w:tabs>
          <w:tab w:val="left" w:pos="864"/>
          <w:tab w:val="left" w:pos="1584"/>
          <w:tab w:val="left" w:pos="7056"/>
          <w:tab w:val="left" w:pos="8496"/>
        </w:tabs>
        <w:ind w:right="14"/>
      </w:pPr>
      <w:r>
        <w:t>None.</w:t>
      </w:r>
    </w:p>
    <w:p w:rsidR="00685411" w:rsidRDefault="00685411">
      <w:pPr>
        <w:tabs>
          <w:tab w:val="left" w:pos="864"/>
          <w:tab w:val="left" w:pos="1584"/>
          <w:tab w:val="left" w:pos="7056"/>
          <w:tab w:val="left" w:pos="8496"/>
        </w:tabs>
        <w:ind w:right="14"/>
      </w:pPr>
    </w:p>
    <w:p w:rsidR="00685411" w:rsidRDefault="001405FF">
      <w:pPr>
        <w:pStyle w:val="BodyText2"/>
        <w:tabs>
          <w:tab w:val="left" w:pos="7056"/>
          <w:tab w:val="left" w:pos="8496"/>
        </w:tabs>
        <w:ind w:left="540" w:hanging="540"/>
        <w:jc w:val="left"/>
        <w:rPr>
          <w:b/>
        </w:rPr>
      </w:pPr>
      <w:r>
        <w:rPr>
          <w:b/>
        </w:rPr>
        <w:t xml:space="preserve">(13)  DATE OF FINANCIAL STATEMENTS FOR THE PARENT AND THE </w:t>
      </w:r>
    </w:p>
    <w:p w:rsidR="00685411" w:rsidRDefault="001405FF">
      <w:pPr>
        <w:pStyle w:val="BodyText2"/>
        <w:tabs>
          <w:tab w:val="left" w:pos="7056"/>
          <w:tab w:val="left" w:pos="8496"/>
        </w:tabs>
        <w:ind w:left="540" w:hanging="540"/>
        <w:jc w:val="left"/>
        <w:rPr>
          <w:b/>
          <w:u w:val="single"/>
        </w:rPr>
      </w:pPr>
      <w:r>
        <w:rPr>
          <w:b/>
          <w:u w:val="single"/>
        </w:rPr>
        <w:t xml:space="preserve">         CONSOLIDATED SUBSIDIARIES                                                  :</w:t>
      </w:r>
    </w:p>
    <w:p w:rsidR="00685411" w:rsidRDefault="00685411">
      <w:pPr>
        <w:pStyle w:val="BodyText2"/>
        <w:tabs>
          <w:tab w:val="left" w:pos="7056"/>
          <w:tab w:val="left" w:pos="8496"/>
        </w:tabs>
        <w:jc w:val="left"/>
      </w:pPr>
    </w:p>
    <w:p w:rsidR="00685411" w:rsidRDefault="001405FF">
      <w:pPr>
        <w:pStyle w:val="BodyText2"/>
        <w:tabs>
          <w:tab w:val="left" w:pos="7056"/>
          <w:tab w:val="left" w:pos="8496"/>
        </w:tabs>
      </w:pPr>
      <w:r>
        <w:t>The financial statements of the Parent and all of the consolidated financ</w:t>
      </w:r>
      <w:r>
        <w:t>ial institutions have been prepared as of September 30, 2002.</w:t>
      </w:r>
    </w:p>
    <w:p w:rsidR="00685411" w:rsidRDefault="00685411">
      <w:pPr>
        <w:tabs>
          <w:tab w:val="left" w:pos="864"/>
          <w:tab w:val="left" w:pos="1584"/>
          <w:tab w:val="left" w:pos="7056"/>
          <w:tab w:val="left" w:pos="8496"/>
        </w:tabs>
        <w:ind w:right="14"/>
      </w:pPr>
    </w:p>
    <w:p w:rsidR="00685411" w:rsidRDefault="001405FF">
      <w:pPr>
        <w:pStyle w:val="BodyText2"/>
        <w:tabs>
          <w:tab w:val="left" w:pos="7056"/>
          <w:tab w:val="left" w:pos="8496"/>
        </w:tabs>
        <w:jc w:val="left"/>
        <w:rPr>
          <w:b/>
          <w:u w:val="single"/>
        </w:rPr>
      </w:pPr>
      <w:r>
        <w:rPr>
          <w:b/>
        </w:rPr>
        <w:t>(14)   UNELIMINATED GAIN OR LOSS BETWEEN THE CONSOLIDATED COMPANIES</w:t>
      </w:r>
    </w:p>
    <w:p w:rsidR="00685411" w:rsidRDefault="001405FF">
      <w:pPr>
        <w:pStyle w:val="BodyText2"/>
        <w:tabs>
          <w:tab w:val="left" w:pos="7056"/>
          <w:tab w:val="left" w:pos="8496"/>
        </w:tabs>
        <w:jc w:val="left"/>
        <w:rPr>
          <w:b/>
          <w:u w:val="single"/>
        </w:rPr>
      </w:pPr>
      <w:r>
        <w:rPr>
          <w:b/>
          <w:u w:val="single"/>
        </w:rPr>
        <w:t xml:space="preserve">          THAT HAVE GENERATED FROM INTERCOMPANY TRANSACTIONS:</w:t>
      </w:r>
    </w:p>
    <w:p w:rsidR="00685411" w:rsidRDefault="00685411">
      <w:pPr>
        <w:pStyle w:val="BodyText2"/>
        <w:tabs>
          <w:tab w:val="left" w:pos="7056"/>
          <w:tab w:val="left" w:pos="8496"/>
        </w:tabs>
        <w:jc w:val="left"/>
      </w:pPr>
    </w:p>
    <w:p w:rsidR="00685411" w:rsidRDefault="001405FF">
      <w:pPr>
        <w:tabs>
          <w:tab w:val="left" w:pos="864"/>
          <w:tab w:val="left" w:pos="1584"/>
          <w:tab w:val="left" w:pos="7056"/>
          <w:tab w:val="left" w:pos="8496"/>
        </w:tabs>
        <w:ind w:right="14"/>
      </w:pPr>
      <w:r>
        <w:t>None.</w:t>
      </w:r>
    </w:p>
    <w:p w:rsidR="00685411" w:rsidRDefault="00685411">
      <w:pPr>
        <w:tabs>
          <w:tab w:val="left" w:pos="864"/>
          <w:tab w:val="left" w:pos="1584"/>
          <w:tab w:val="left" w:pos="7056"/>
          <w:tab w:val="left" w:pos="8496"/>
        </w:tabs>
        <w:ind w:right="14"/>
      </w:pPr>
    </w:p>
    <w:p w:rsidR="00685411" w:rsidRDefault="001405FF">
      <w:pPr>
        <w:tabs>
          <w:tab w:val="left" w:pos="864"/>
          <w:tab w:val="left" w:pos="1584"/>
          <w:tab w:val="left" w:pos="7056"/>
          <w:tab w:val="left" w:pos="8496"/>
        </w:tabs>
        <w:ind w:right="14"/>
        <w:rPr>
          <w:b/>
        </w:rPr>
      </w:pPr>
      <w:r>
        <w:rPr>
          <w:b/>
        </w:rPr>
        <w:t xml:space="preserve">(15)  DIFFERENCE BETWEEN THE COST AND THE SHARE IN THE </w:t>
      </w:r>
      <w:r>
        <w:rPr>
          <w:b/>
        </w:rPr>
        <w:t xml:space="preserve">EQUITY </w:t>
      </w:r>
    </w:p>
    <w:p w:rsidR="00685411" w:rsidRDefault="001405FF">
      <w:pPr>
        <w:tabs>
          <w:tab w:val="left" w:pos="864"/>
          <w:tab w:val="left" w:pos="1584"/>
          <w:tab w:val="left" w:pos="7056"/>
          <w:tab w:val="left" w:pos="8496"/>
        </w:tabs>
        <w:ind w:right="14"/>
        <w:rPr>
          <w:b/>
          <w:u w:val="single"/>
        </w:rPr>
      </w:pPr>
      <w:r>
        <w:rPr>
          <w:b/>
          <w:u w:val="single"/>
        </w:rPr>
        <w:t xml:space="preserve">         OF NON-CONSOLIDATED SUBSIDIARIES                                          :</w:t>
      </w:r>
    </w:p>
    <w:p w:rsidR="00685411" w:rsidRDefault="00685411">
      <w:pPr>
        <w:tabs>
          <w:tab w:val="left" w:pos="864"/>
          <w:tab w:val="left" w:pos="1584"/>
          <w:tab w:val="left" w:pos="7056"/>
          <w:tab w:val="left" w:pos="8496"/>
        </w:tabs>
        <w:ind w:right="14"/>
        <w:jc w:val="both"/>
      </w:pPr>
    </w:p>
    <w:p w:rsidR="00685411" w:rsidRDefault="001405FF">
      <w:pPr>
        <w:pStyle w:val="BodyText3"/>
      </w:pPr>
      <w:r>
        <w:t>Difference between the cost and the share in the equity of non-consolidated subsidiaries are as follows:</w:t>
      </w:r>
    </w:p>
    <w:p w:rsidR="00685411" w:rsidRDefault="00685411">
      <w:pPr>
        <w:tabs>
          <w:tab w:val="left" w:pos="1584"/>
        </w:tabs>
        <w:ind w:right="14"/>
        <w:jc w:val="both"/>
      </w:pPr>
    </w:p>
    <w:tbl>
      <w:tblPr>
        <w:tblW w:w="0" w:type="auto"/>
        <w:tblLayout w:type="fixed"/>
        <w:tblCellMar>
          <w:left w:w="30" w:type="dxa"/>
          <w:right w:w="30" w:type="dxa"/>
        </w:tblCellMar>
        <w:tblLook w:val="0000" w:firstRow="0" w:lastRow="0" w:firstColumn="0" w:lastColumn="0" w:noHBand="0" w:noVBand="0"/>
      </w:tblPr>
      <w:tblGrid>
        <w:gridCol w:w="3000"/>
        <w:gridCol w:w="1440"/>
        <w:gridCol w:w="90"/>
        <w:gridCol w:w="1170"/>
        <w:gridCol w:w="90"/>
        <w:gridCol w:w="1260"/>
        <w:gridCol w:w="90"/>
        <w:gridCol w:w="1260"/>
        <w:gridCol w:w="90"/>
        <w:gridCol w:w="1170"/>
      </w:tblGrid>
      <w:tr w:rsidR="00685411">
        <w:trPr>
          <w:trHeight w:val="868"/>
        </w:trPr>
        <w:tc>
          <w:tcPr>
            <w:tcW w:w="3000" w:type="dxa"/>
          </w:tcPr>
          <w:p w:rsidR="00685411" w:rsidRDefault="00685411">
            <w:pPr>
              <w:jc w:val="center"/>
              <w:rPr>
                <w:snapToGrid w:val="0"/>
                <w:color w:val="000000"/>
                <w:sz w:val="20"/>
              </w:rPr>
            </w:pPr>
          </w:p>
        </w:tc>
        <w:tc>
          <w:tcPr>
            <w:tcW w:w="1440" w:type="dxa"/>
            <w:tcBorders>
              <w:bottom w:val="single" w:sz="6" w:space="0" w:color="auto"/>
            </w:tcBorders>
          </w:tcPr>
          <w:p w:rsidR="00685411" w:rsidRDefault="001405FF">
            <w:pPr>
              <w:jc w:val="center"/>
              <w:rPr>
                <w:snapToGrid w:val="0"/>
                <w:color w:val="000000"/>
                <w:sz w:val="18"/>
              </w:rPr>
            </w:pPr>
            <w:r>
              <w:rPr>
                <w:snapToGrid w:val="0"/>
                <w:color w:val="000000"/>
                <w:sz w:val="18"/>
              </w:rPr>
              <w:t>Total</w:t>
            </w:r>
          </w:p>
          <w:p w:rsidR="00685411" w:rsidRDefault="001405FF">
            <w:pPr>
              <w:jc w:val="center"/>
              <w:rPr>
                <w:snapToGrid w:val="0"/>
                <w:color w:val="000000"/>
                <w:sz w:val="18"/>
              </w:rPr>
            </w:pPr>
            <w:r>
              <w:rPr>
                <w:snapToGrid w:val="0"/>
                <w:color w:val="000000"/>
                <w:sz w:val="18"/>
              </w:rPr>
              <w:t>Shareholders’</w:t>
            </w:r>
          </w:p>
          <w:p w:rsidR="00685411" w:rsidRDefault="001405FF">
            <w:pPr>
              <w:jc w:val="center"/>
              <w:rPr>
                <w:snapToGrid w:val="0"/>
                <w:color w:val="000000"/>
                <w:sz w:val="18"/>
              </w:rPr>
            </w:pPr>
            <w:r>
              <w:rPr>
                <w:snapToGrid w:val="0"/>
                <w:color w:val="000000"/>
                <w:sz w:val="18"/>
              </w:rPr>
              <w:t>Equity</w:t>
            </w:r>
          </w:p>
          <w:p w:rsidR="00685411" w:rsidRDefault="001405FF">
            <w:pPr>
              <w:jc w:val="center"/>
              <w:rPr>
                <w:snapToGrid w:val="0"/>
                <w:color w:val="000000"/>
                <w:sz w:val="18"/>
              </w:rPr>
            </w:pPr>
            <w:r>
              <w:rPr>
                <w:snapToGrid w:val="0"/>
                <w:color w:val="000000"/>
                <w:sz w:val="18"/>
              </w:rPr>
              <w:t>(Billion TL) (*)</w:t>
            </w:r>
          </w:p>
        </w:tc>
        <w:tc>
          <w:tcPr>
            <w:tcW w:w="90" w:type="dxa"/>
          </w:tcPr>
          <w:p w:rsidR="00685411" w:rsidRDefault="00685411">
            <w:pPr>
              <w:jc w:val="center"/>
              <w:rPr>
                <w:snapToGrid w:val="0"/>
                <w:color w:val="000000"/>
                <w:sz w:val="18"/>
              </w:rPr>
            </w:pPr>
          </w:p>
        </w:tc>
        <w:tc>
          <w:tcPr>
            <w:tcW w:w="1170" w:type="dxa"/>
            <w:tcBorders>
              <w:bottom w:val="single" w:sz="6" w:space="0" w:color="auto"/>
            </w:tcBorders>
          </w:tcPr>
          <w:p w:rsidR="00685411" w:rsidRDefault="00685411">
            <w:pPr>
              <w:jc w:val="center"/>
              <w:rPr>
                <w:snapToGrid w:val="0"/>
                <w:color w:val="000000"/>
                <w:sz w:val="18"/>
              </w:rPr>
            </w:pPr>
          </w:p>
          <w:p w:rsidR="00685411" w:rsidRDefault="001405FF">
            <w:pPr>
              <w:jc w:val="center"/>
              <w:rPr>
                <w:snapToGrid w:val="0"/>
                <w:color w:val="000000"/>
                <w:sz w:val="18"/>
              </w:rPr>
            </w:pPr>
            <w:r>
              <w:rPr>
                <w:snapToGrid w:val="0"/>
                <w:color w:val="000000"/>
                <w:sz w:val="18"/>
              </w:rPr>
              <w:t>Ownership</w:t>
            </w:r>
          </w:p>
          <w:p w:rsidR="00685411" w:rsidRDefault="001405FF">
            <w:pPr>
              <w:jc w:val="center"/>
              <w:rPr>
                <w:snapToGrid w:val="0"/>
                <w:color w:val="000000"/>
                <w:sz w:val="18"/>
              </w:rPr>
            </w:pPr>
            <w:r>
              <w:rPr>
                <w:snapToGrid w:val="0"/>
                <w:color w:val="000000"/>
                <w:sz w:val="18"/>
              </w:rPr>
              <w:t>Share</w:t>
            </w:r>
          </w:p>
          <w:p w:rsidR="00685411" w:rsidRDefault="001405FF">
            <w:pPr>
              <w:jc w:val="center"/>
              <w:rPr>
                <w:snapToGrid w:val="0"/>
                <w:color w:val="000000"/>
                <w:sz w:val="18"/>
              </w:rPr>
            </w:pPr>
            <w:r>
              <w:rPr>
                <w:snapToGrid w:val="0"/>
                <w:color w:val="000000"/>
                <w:sz w:val="18"/>
              </w:rPr>
              <w:t>(%) (*)</w:t>
            </w:r>
          </w:p>
        </w:tc>
        <w:tc>
          <w:tcPr>
            <w:tcW w:w="90" w:type="dxa"/>
          </w:tcPr>
          <w:p w:rsidR="00685411" w:rsidRDefault="00685411">
            <w:pPr>
              <w:jc w:val="center"/>
              <w:rPr>
                <w:snapToGrid w:val="0"/>
                <w:color w:val="000000"/>
                <w:sz w:val="18"/>
              </w:rPr>
            </w:pPr>
          </w:p>
        </w:tc>
        <w:tc>
          <w:tcPr>
            <w:tcW w:w="1260" w:type="dxa"/>
            <w:tcBorders>
              <w:bottom w:val="single" w:sz="6" w:space="0" w:color="auto"/>
            </w:tcBorders>
          </w:tcPr>
          <w:p w:rsidR="00685411" w:rsidRDefault="001405FF">
            <w:pPr>
              <w:jc w:val="center"/>
              <w:rPr>
                <w:snapToGrid w:val="0"/>
                <w:color w:val="000000"/>
                <w:sz w:val="18"/>
              </w:rPr>
            </w:pPr>
            <w:r>
              <w:rPr>
                <w:snapToGrid w:val="0"/>
                <w:color w:val="000000"/>
                <w:sz w:val="18"/>
              </w:rPr>
              <w:t xml:space="preserve">Share of </w:t>
            </w:r>
          </w:p>
          <w:p w:rsidR="00685411" w:rsidRDefault="001405FF">
            <w:pPr>
              <w:jc w:val="center"/>
              <w:rPr>
                <w:snapToGrid w:val="0"/>
                <w:color w:val="000000"/>
                <w:sz w:val="18"/>
              </w:rPr>
            </w:pPr>
            <w:r>
              <w:rPr>
                <w:snapToGrid w:val="0"/>
                <w:color w:val="000000"/>
                <w:sz w:val="18"/>
              </w:rPr>
              <w:t xml:space="preserve">the </w:t>
            </w:r>
          </w:p>
          <w:p w:rsidR="00685411" w:rsidRDefault="001405FF">
            <w:pPr>
              <w:jc w:val="center"/>
              <w:rPr>
                <w:snapToGrid w:val="0"/>
                <w:color w:val="000000"/>
                <w:sz w:val="18"/>
              </w:rPr>
            </w:pPr>
            <w:r>
              <w:rPr>
                <w:snapToGrid w:val="0"/>
                <w:color w:val="000000"/>
                <w:sz w:val="18"/>
              </w:rPr>
              <w:t>Bank</w:t>
            </w:r>
          </w:p>
          <w:p w:rsidR="00685411" w:rsidRDefault="001405FF">
            <w:pPr>
              <w:jc w:val="center"/>
              <w:rPr>
                <w:snapToGrid w:val="0"/>
                <w:color w:val="000000"/>
                <w:sz w:val="18"/>
              </w:rPr>
            </w:pPr>
            <w:r>
              <w:rPr>
                <w:snapToGrid w:val="0"/>
                <w:color w:val="000000"/>
                <w:sz w:val="18"/>
              </w:rPr>
              <w:t>(Billion TL)(*)</w:t>
            </w:r>
          </w:p>
        </w:tc>
        <w:tc>
          <w:tcPr>
            <w:tcW w:w="90" w:type="dxa"/>
          </w:tcPr>
          <w:p w:rsidR="00685411" w:rsidRDefault="00685411">
            <w:pPr>
              <w:jc w:val="center"/>
              <w:rPr>
                <w:snapToGrid w:val="0"/>
                <w:color w:val="000000"/>
                <w:sz w:val="18"/>
              </w:rPr>
            </w:pPr>
          </w:p>
        </w:tc>
        <w:tc>
          <w:tcPr>
            <w:tcW w:w="1260" w:type="dxa"/>
            <w:tcBorders>
              <w:bottom w:val="single" w:sz="6" w:space="0" w:color="auto"/>
            </w:tcBorders>
          </w:tcPr>
          <w:p w:rsidR="00685411" w:rsidRDefault="00685411">
            <w:pPr>
              <w:jc w:val="center"/>
              <w:rPr>
                <w:snapToGrid w:val="0"/>
                <w:color w:val="000000"/>
                <w:sz w:val="18"/>
              </w:rPr>
            </w:pPr>
          </w:p>
          <w:p w:rsidR="00685411" w:rsidRDefault="001405FF">
            <w:pPr>
              <w:jc w:val="center"/>
              <w:rPr>
                <w:snapToGrid w:val="0"/>
                <w:color w:val="000000"/>
                <w:sz w:val="18"/>
              </w:rPr>
            </w:pPr>
            <w:r>
              <w:rPr>
                <w:snapToGrid w:val="0"/>
                <w:color w:val="000000"/>
                <w:sz w:val="18"/>
              </w:rPr>
              <w:t>Restated</w:t>
            </w:r>
          </w:p>
          <w:p w:rsidR="00685411" w:rsidRDefault="001405FF">
            <w:pPr>
              <w:jc w:val="center"/>
              <w:rPr>
                <w:snapToGrid w:val="0"/>
                <w:color w:val="000000"/>
                <w:sz w:val="18"/>
              </w:rPr>
            </w:pPr>
            <w:r>
              <w:rPr>
                <w:snapToGrid w:val="0"/>
                <w:color w:val="000000"/>
                <w:sz w:val="18"/>
              </w:rPr>
              <w:t>Cost</w:t>
            </w:r>
          </w:p>
          <w:p w:rsidR="00685411" w:rsidRDefault="001405FF">
            <w:pPr>
              <w:jc w:val="center"/>
              <w:rPr>
                <w:snapToGrid w:val="0"/>
                <w:color w:val="000000"/>
                <w:sz w:val="18"/>
              </w:rPr>
            </w:pPr>
            <w:r>
              <w:rPr>
                <w:snapToGrid w:val="0"/>
                <w:color w:val="000000"/>
                <w:sz w:val="18"/>
              </w:rPr>
              <w:t>(Billion TL)</w:t>
            </w:r>
          </w:p>
        </w:tc>
        <w:tc>
          <w:tcPr>
            <w:tcW w:w="90" w:type="dxa"/>
          </w:tcPr>
          <w:p w:rsidR="00685411" w:rsidRDefault="00685411">
            <w:pPr>
              <w:jc w:val="center"/>
              <w:rPr>
                <w:snapToGrid w:val="0"/>
                <w:color w:val="000000"/>
                <w:sz w:val="18"/>
              </w:rPr>
            </w:pPr>
          </w:p>
        </w:tc>
        <w:tc>
          <w:tcPr>
            <w:tcW w:w="1170" w:type="dxa"/>
            <w:tcBorders>
              <w:bottom w:val="single" w:sz="6" w:space="0" w:color="auto"/>
            </w:tcBorders>
          </w:tcPr>
          <w:p w:rsidR="00685411" w:rsidRDefault="00685411">
            <w:pPr>
              <w:jc w:val="center"/>
              <w:rPr>
                <w:snapToGrid w:val="0"/>
                <w:color w:val="000000"/>
                <w:sz w:val="18"/>
              </w:rPr>
            </w:pPr>
          </w:p>
          <w:p w:rsidR="00685411" w:rsidRDefault="00685411">
            <w:pPr>
              <w:jc w:val="center"/>
              <w:rPr>
                <w:snapToGrid w:val="0"/>
                <w:color w:val="000000"/>
                <w:sz w:val="18"/>
              </w:rPr>
            </w:pPr>
          </w:p>
          <w:p w:rsidR="00685411" w:rsidRDefault="001405FF">
            <w:pPr>
              <w:jc w:val="center"/>
              <w:rPr>
                <w:snapToGrid w:val="0"/>
                <w:color w:val="000000"/>
                <w:sz w:val="18"/>
              </w:rPr>
            </w:pPr>
            <w:r>
              <w:rPr>
                <w:snapToGrid w:val="0"/>
                <w:color w:val="000000"/>
                <w:sz w:val="18"/>
              </w:rPr>
              <w:t>Difference</w:t>
            </w:r>
          </w:p>
          <w:p w:rsidR="00685411" w:rsidRDefault="001405FF">
            <w:pPr>
              <w:jc w:val="center"/>
              <w:rPr>
                <w:snapToGrid w:val="0"/>
                <w:color w:val="000000"/>
                <w:sz w:val="18"/>
              </w:rPr>
            </w:pPr>
            <w:r>
              <w:rPr>
                <w:snapToGrid w:val="0"/>
                <w:color w:val="000000"/>
                <w:sz w:val="18"/>
              </w:rPr>
              <w:t>(Billion TL)</w:t>
            </w:r>
          </w:p>
        </w:tc>
      </w:tr>
    </w:tbl>
    <w:p w:rsidR="00685411" w:rsidRDefault="00685411">
      <w:pPr>
        <w:pStyle w:val="EndnoteText"/>
      </w:pPr>
    </w:p>
    <w:tbl>
      <w:tblPr>
        <w:tblW w:w="9678" w:type="dxa"/>
        <w:tblLayout w:type="fixed"/>
        <w:tblCellMar>
          <w:left w:w="30" w:type="dxa"/>
          <w:right w:w="30" w:type="dxa"/>
        </w:tblCellMar>
        <w:tblLook w:val="0000" w:firstRow="0" w:lastRow="0" w:firstColumn="0" w:lastColumn="0" w:noHBand="0" w:noVBand="0"/>
      </w:tblPr>
      <w:tblGrid>
        <w:gridCol w:w="3000"/>
        <w:gridCol w:w="1350"/>
        <w:gridCol w:w="180"/>
        <w:gridCol w:w="1180"/>
        <w:gridCol w:w="90"/>
        <w:gridCol w:w="1250"/>
        <w:gridCol w:w="130"/>
        <w:gridCol w:w="1230"/>
        <w:gridCol w:w="80"/>
        <w:gridCol w:w="1188"/>
      </w:tblGrid>
      <w:tr w:rsidR="00685411">
        <w:tc>
          <w:tcPr>
            <w:tcW w:w="3000" w:type="dxa"/>
            <w:vAlign w:val="center"/>
          </w:tcPr>
          <w:p w:rsidR="00685411" w:rsidRDefault="001405FF">
            <w:pPr>
              <w:rPr>
                <w:b/>
                <w:snapToGrid w:val="0"/>
                <w:color w:val="000000"/>
                <w:u w:val="single"/>
              </w:rPr>
            </w:pPr>
            <w:r>
              <w:rPr>
                <w:b/>
                <w:snapToGrid w:val="0"/>
                <w:color w:val="000000"/>
                <w:u w:val="single"/>
              </w:rPr>
              <w:t>September 30, 2002:</w:t>
            </w:r>
          </w:p>
        </w:tc>
        <w:tc>
          <w:tcPr>
            <w:tcW w:w="1350" w:type="dxa"/>
            <w:vAlign w:val="center"/>
          </w:tcPr>
          <w:p w:rsidR="00685411" w:rsidRDefault="00685411">
            <w:pPr>
              <w:jc w:val="center"/>
              <w:rPr>
                <w:snapToGrid w:val="0"/>
                <w:color w:val="000000"/>
              </w:rPr>
            </w:pPr>
          </w:p>
        </w:tc>
        <w:tc>
          <w:tcPr>
            <w:tcW w:w="180" w:type="dxa"/>
            <w:vAlign w:val="center"/>
          </w:tcPr>
          <w:p w:rsidR="00685411" w:rsidRDefault="00685411">
            <w:pPr>
              <w:jc w:val="center"/>
              <w:rPr>
                <w:snapToGrid w:val="0"/>
                <w:color w:val="000000"/>
              </w:rPr>
            </w:pPr>
          </w:p>
        </w:tc>
        <w:tc>
          <w:tcPr>
            <w:tcW w:w="1180" w:type="dxa"/>
            <w:vAlign w:val="center"/>
          </w:tcPr>
          <w:p w:rsidR="00685411" w:rsidRDefault="00685411">
            <w:pPr>
              <w:jc w:val="center"/>
              <w:rPr>
                <w:snapToGrid w:val="0"/>
                <w:color w:val="000000"/>
              </w:rPr>
            </w:pPr>
          </w:p>
        </w:tc>
        <w:tc>
          <w:tcPr>
            <w:tcW w:w="90" w:type="dxa"/>
            <w:vAlign w:val="center"/>
          </w:tcPr>
          <w:p w:rsidR="00685411" w:rsidRDefault="00685411">
            <w:pPr>
              <w:jc w:val="center"/>
              <w:rPr>
                <w:snapToGrid w:val="0"/>
                <w:color w:val="000000"/>
              </w:rPr>
            </w:pPr>
          </w:p>
        </w:tc>
        <w:tc>
          <w:tcPr>
            <w:tcW w:w="1250" w:type="dxa"/>
            <w:vAlign w:val="center"/>
          </w:tcPr>
          <w:p w:rsidR="00685411" w:rsidRDefault="00685411">
            <w:pPr>
              <w:jc w:val="center"/>
              <w:rPr>
                <w:snapToGrid w:val="0"/>
                <w:color w:val="000000"/>
              </w:rPr>
            </w:pPr>
          </w:p>
        </w:tc>
        <w:tc>
          <w:tcPr>
            <w:tcW w:w="130" w:type="dxa"/>
            <w:vAlign w:val="center"/>
          </w:tcPr>
          <w:p w:rsidR="00685411" w:rsidRDefault="00685411">
            <w:pPr>
              <w:jc w:val="center"/>
              <w:rPr>
                <w:snapToGrid w:val="0"/>
                <w:color w:val="000000"/>
              </w:rPr>
            </w:pPr>
          </w:p>
        </w:tc>
        <w:tc>
          <w:tcPr>
            <w:tcW w:w="1230" w:type="dxa"/>
            <w:vAlign w:val="center"/>
          </w:tcPr>
          <w:p w:rsidR="00685411" w:rsidRDefault="00685411">
            <w:pPr>
              <w:jc w:val="center"/>
              <w:rPr>
                <w:snapToGrid w:val="0"/>
                <w:color w:val="000000"/>
              </w:rPr>
            </w:pPr>
          </w:p>
        </w:tc>
        <w:tc>
          <w:tcPr>
            <w:tcW w:w="80" w:type="dxa"/>
            <w:vAlign w:val="center"/>
          </w:tcPr>
          <w:p w:rsidR="00685411" w:rsidRDefault="00685411">
            <w:pPr>
              <w:jc w:val="center"/>
              <w:rPr>
                <w:snapToGrid w:val="0"/>
                <w:color w:val="000000"/>
              </w:rPr>
            </w:pPr>
          </w:p>
        </w:tc>
        <w:tc>
          <w:tcPr>
            <w:tcW w:w="1188" w:type="dxa"/>
            <w:vAlign w:val="center"/>
          </w:tcPr>
          <w:p w:rsidR="00685411" w:rsidRDefault="00685411">
            <w:pPr>
              <w:jc w:val="center"/>
              <w:rPr>
                <w:snapToGrid w:val="0"/>
                <w:color w:val="000000"/>
              </w:rPr>
            </w:pPr>
          </w:p>
        </w:tc>
      </w:tr>
      <w:tr w:rsidR="00685411">
        <w:tc>
          <w:tcPr>
            <w:tcW w:w="3000" w:type="dxa"/>
            <w:vAlign w:val="center"/>
          </w:tcPr>
          <w:p w:rsidR="00685411" w:rsidRDefault="001405FF">
            <w:pPr>
              <w:rPr>
                <w:snapToGrid w:val="0"/>
                <w:color w:val="000000"/>
              </w:rPr>
            </w:pPr>
            <w:r>
              <w:rPr>
                <w:snapToGrid w:val="0"/>
                <w:color w:val="000000"/>
              </w:rPr>
              <w:t>Varlık Yatırım Ortaklığı A.Ş.</w:t>
            </w:r>
          </w:p>
        </w:tc>
        <w:tc>
          <w:tcPr>
            <w:tcW w:w="1350" w:type="dxa"/>
            <w:vAlign w:val="center"/>
          </w:tcPr>
          <w:p w:rsidR="00685411" w:rsidRDefault="001405FF">
            <w:pPr>
              <w:jc w:val="right"/>
              <w:rPr>
                <w:snapToGrid w:val="0"/>
                <w:color w:val="000000"/>
                <w:lang w:val="de-DE"/>
              </w:rPr>
            </w:pPr>
            <w:r>
              <w:rPr>
                <w:snapToGrid w:val="0"/>
                <w:color w:val="000000"/>
                <w:lang w:val="de-DE"/>
              </w:rPr>
              <w:t>1,320</w:t>
            </w:r>
          </w:p>
        </w:tc>
        <w:tc>
          <w:tcPr>
            <w:tcW w:w="180" w:type="dxa"/>
            <w:vAlign w:val="center"/>
          </w:tcPr>
          <w:p w:rsidR="00685411" w:rsidRDefault="00685411">
            <w:pPr>
              <w:jc w:val="right"/>
              <w:rPr>
                <w:snapToGrid w:val="0"/>
                <w:color w:val="000000"/>
                <w:lang w:val="de-DE"/>
              </w:rPr>
            </w:pPr>
          </w:p>
        </w:tc>
        <w:tc>
          <w:tcPr>
            <w:tcW w:w="1180" w:type="dxa"/>
            <w:vAlign w:val="center"/>
          </w:tcPr>
          <w:p w:rsidR="00685411" w:rsidRDefault="001405FF">
            <w:pPr>
              <w:jc w:val="right"/>
              <w:rPr>
                <w:snapToGrid w:val="0"/>
                <w:color w:val="000000"/>
                <w:lang w:val="de-DE"/>
              </w:rPr>
            </w:pPr>
            <w:r>
              <w:rPr>
                <w:snapToGrid w:val="0"/>
                <w:color w:val="000000"/>
                <w:lang w:val="de-DE"/>
              </w:rPr>
              <w:t>34</w:t>
            </w:r>
          </w:p>
        </w:tc>
        <w:tc>
          <w:tcPr>
            <w:tcW w:w="90" w:type="dxa"/>
            <w:vAlign w:val="center"/>
          </w:tcPr>
          <w:p w:rsidR="00685411" w:rsidRDefault="00685411">
            <w:pPr>
              <w:jc w:val="right"/>
              <w:rPr>
                <w:snapToGrid w:val="0"/>
                <w:color w:val="000000"/>
                <w:lang w:val="de-DE"/>
              </w:rPr>
            </w:pPr>
          </w:p>
        </w:tc>
        <w:tc>
          <w:tcPr>
            <w:tcW w:w="1250" w:type="dxa"/>
            <w:vAlign w:val="center"/>
          </w:tcPr>
          <w:p w:rsidR="00685411" w:rsidRDefault="001405FF">
            <w:pPr>
              <w:jc w:val="right"/>
              <w:rPr>
                <w:snapToGrid w:val="0"/>
                <w:color w:val="000000"/>
                <w:lang w:val="de-DE"/>
              </w:rPr>
            </w:pPr>
            <w:r>
              <w:rPr>
                <w:snapToGrid w:val="0"/>
                <w:color w:val="000000"/>
                <w:lang w:val="de-DE"/>
              </w:rPr>
              <w:t>449</w:t>
            </w:r>
          </w:p>
        </w:tc>
        <w:tc>
          <w:tcPr>
            <w:tcW w:w="130" w:type="dxa"/>
            <w:vAlign w:val="center"/>
          </w:tcPr>
          <w:p w:rsidR="00685411" w:rsidRDefault="00685411">
            <w:pPr>
              <w:jc w:val="right"/>
              <w:rPr>
                <w:snapToGrid w:val="0"/>
                <w:color w:val="000000"/>
                <w:lang w:val="de-DE"/>
              </w:rPr>
            </w:pPr>
          </w:p>
        </w:tc>
        <w:tc>
          <w:tcPr>
            <w:tcW w:w="1230" w:type="dxa"/>
            <w:vAlign w:val="center"/>
          </w:tcPr>
          <w:p w:rsidR="00685411" w:rsidRDefault="001405FF">
            <w:pPr>
              <w:jc w:val="right"/>
              <w:rPr>
                <w:snapToGrid w:val="0"/>
                <w:color w:val="000000"/>
                <w:lang w:val="de-DE"/>
              </w:rPr>
            </w:pPr>
            <w:r>
              <w:rPr>
                <w:snapToGrid w:val="0"/>
                <w:color w:val="000000"/>
                <w:lang w:val="de-DE"/>
              </w:rPr>
              <w:t>311</w:t>
            </w:r>
          </w:p>
        </w:tc>
        <w:tc>
          <w:tcPr>
            <w:tcW w:w="80" w:type="dxa"/>
            <w:vAlign w:val="center"/>
          </w:tcPr>
          <w:p w:rsidR="00685411" w:rsidRDefault="00685411">
            <w:pPr>
              <w:jc w:val="right"/>
              <w:rPr>
                <w:snapToGrid w:val="0"/>
                <w:color w:val="000000"/>
                <w:lang w:val="de-DE"/>
              </w:rPr>
            </w:pPr>
          </w:p>
        </w:tc>
        <w:tc>
          <w:tcPr>
            <w:tcW w:w="1188" w:type="dxa"/>
            <w:vAlign w:val="center"/>
          </w:tcPr>
          <w:p w:rsidR="00685411" w:rsidRDefault="001405FF">
            <w:pPr>
              <w:jc w:val="right"/>
              <w:rPr>
                <w:snapToGrid w:val="0"/>
                <w:color w:val="000000"/>
                <w:lang w:val="de-DE"/>
              </w:rPr>
            </w:pPr>
            <w:r>
              <w:rPr>
                <w:snapToGrid w:val="0"/>
                <w:color w:val="000000"/>
                <w:lang w:val="de-DE"/>
              </w:rPr>
              <w:t>138</w:t>
            </w:r>
          </w:p>
        </w:tc>
      </w:tr>
      <w:tr w:rsidR="00685411">
        <w:tc>
          <w:tcPr>
            <w:tcW w:w="3000" w:type="dxa"/>
            <w:vAlign w:val="center"/>
          </w:tcPr>
          <w:p w:rsidR="00685411" w:rsidRDefault="001405FF">
            <w:pPr>
              <w:rPr>
                <w:snapToGrid w:val="0"/>
                <w:color w:val="000000"/>
                <w:lang w:val="de-DE"/>
              </w:rPr>
            </w:pPr>
            <w:r>
              <w:rPr>
                <w:snapToGrid w:val="0"/>
                <w:color w:val="000000"/>
                <w:lang w:val="de-DE"/>
              </w:rPr>
              <w:t>TEB Kıymetli Madenler A.Ş.</w:t>
            </w:r>
          </w:p>
        </w:tc>
        <w:tc>
          <w:tcPr>
            <w:tcW w:w="1350" w:type="dxa"/>
            <w:vAlign w:val="center"/>
          </w:tcPr>
          <w:p w:rsidR="00685411" w:rsidRDefault="001405FF">
            <w:pPr>
              <w:jc w:val="right"/>
              <w:rPr>
                <w:snapToGrid w:val="0"/>
                <w:color w:val="000000"/>
              </w:rPr>
            </w:pPr>
            <w:r>
              <w:rPr>
                <w:snapToGrid w:val="0"/>
                <w:color w:val="000000"/>
              </w:rPr>
              <w:t>283</w:t>
            </w:r>
          </w:p>
        </w:tc>
        <w:tc>
          <w:tcPr>
            <w:tcW w:w="180" w:type="dxa"/>
            <w:vAlign w:val="center"/>
          </w:tcPr>
          <w:p w:rsidR="00685411" w:rsidRDefault="00685411">
            <w:pPr>
              <w:jc w:val="right"/>
              <w:rPr>
                <w:snapToGrid w:val="0"/>
                <w:color w:val="000000"/>
              </w:rPr>
            </w:pPr>
          </w:p>
        </w:tc>
        <w:tc>
          <w:tcPr>
            <w:tcW w:w="1180" w:type="dxa"/>
            <w:vAlign w:val="center"/>
          </w:tcPr>
          <w:p w:rsidR="00685411" w:rsidRDefault="001405FF">
            <w:pPr>
              <w:jc w:val="right"/>
              <w:rPr>
                <w:snapToGrid w:val="0"/>
                <w:color w:val="000000"/>
              </w:rPr>
            </w:pPr>
            <w:r>
              <w:rPr>
                <w:snapToGrid w:val="0"/>
                <w:color w:val="000000"/>
              </w:rPr>
              <w:t>75</w:t>
            </w:r>
          </w:p>
        </w:tc>
        <w:tc>
          <w:tcPr>
            <w:tcW w:w="90" w:type="dxa"/>
            <w:vAlign w:val="center"/>
          </w:tcPr>
          <w:p w:rsidR="00685411" w:rsidRDefault="00685411">
            <w:pPr>
              <w:jc w:val="right"/>
              <w:rPr>
                <w:snapToGrid w:val="0"/>
                <w:color w:val="000000"/>
              </w:rPr>
            </w:pPr>
          </w:p>
        </w:tc>
        <w:tc>
          <w:tcPr>
            <w:tcW w:w="1250" w:type="dxa"/>
            <w:vAlign w:val="center"/>
          </w:tcPr>
          <w:p w:rsidR="00685411" w:rsidRDefault="001405FF">
            <w:pPr>
              <w:jc w:val="right"/>
              <w:rPr>
                <w:snapToGrid w:val="0"/>
                <w:color w:val="000000"/>
              </w:rPr>
            </w:pPr>
            <w:r>
              <w:rPr>
                <w:snapToGrid w:val="0"/>
                <w:color w:val="000000"/>
              </w:rPr>
              <w:t>212</w:t>
            </w:r>
          </w:p>
        </w:tc>
        <w:tc>
          <w:tcPr>
            <w:tcW w:w="130" w:type="dxa"/>
            <w:vAlign w:val="center"/>
          </w:tcPr>
          <w:p w:rsidR="00685411" w:rsidRDefault="00685411">
            <w:pPr>
              <w:jc w:val="right"/>
              <w:rPr>
                <w:snapToGrid w:val="0"/>
                <w:color w:val="000000"/>
              </w:rPr>
            </w:pPr>
          </w:p>
        </w:tc>
        <w:tc>
          <w:tcPr>
            <w:tcW w:w="1230" w:type="dxa"/>
            <w:vAlign w:val="center"/>
          </w:tcPr>
          <w:p w:rsidR="00685411" w:rsidRDefault="001405FF">
            <w:pPr>
              <w:jc w:val="right"/>
              <w:rPr>
                <w:snapToGrid w:val="0"/>
                <w:color w:val="000000"/>
              </w:rPr>
            </w:pPr>
            <w:r>
              <w:rPr>
                <w:snapToGrid w:val="0"/>
                <w:color w:val="000000"/>
              </w:rPr>
              <w:t>313</w:t>
            </w:r>
          </w:p>
        </w:tc>
        <w:tc>
          <w:tcPr>
            <w:tcW w:w="80" w:type="dxa"/>
            <w:vAlign w:val="center"/>
          </w:tcPr>
          <w:p w:rsidR="00685411" w:rsidRDefault="00685411">
            <w:pPr>
              <w:jc w:val="right"/>
              <w:rPr>
                <w:snapToGrid w:val="0"/>
                <w:color w:val="000000"/>
              </w:rPr>
            </w:pPr>
          </w:p>
        </w:tc>
        <w:tc>
          <w:tcPr>
            <w:tcW w:w="1188" w:type="dxa"/>
            <w:vAlign w:val="center"/>
          </w:tcPr>
          <w:p w:rsidR="00685411" w:rsidRDefault="001405FF">
            <w:pPr>
              <w:jc w:val="right"/>
              <w:rPr>
                <w:snapToGrid w:val="0"/>
                <w:color w:val="000000"/>
              </w:rPr>
            </w:pPr>
            <w:r>
              <w:rPr>
                <w:snapToGrid w:val="0"/>
                <w:color w:val="000000"/>
              </w:rPr>
              <w:t>(101)</w:t>
            </w:r>
          </w:p>
        </w:tc>
      </w:tr>
      <w:tr w:rsidR="00685411">
        <w:tc>
          <w:tcPr>
            <w:tcW w:w="3000" w:type="dxa"/>
            <w:vAlign w:val="center"/>
          </w:tcPr>
          <w:p w:rsidR="00685411" w:rsidRDefault="00685411">
            <w:pPr>
              <w:rPr>
                <w:b/>
                <w:snapToGrid w:val="0"/>
                <w:color w:val="000000"/>
                <w:u w:val="single"/>
              </w:rPr>
            </w:pPr>
          </w:p>
        </w:tc>
        <w:tc>
          <w:tcPr>
            <w:tcW w:w="1350" w:type="dxa"/>
            <w:vAlign w:val="center"/>
          </w:tcPr>
          <w:p w:rsidR="00685411" w:rsidRDefault="00685411">
            <w:pPr>
              <w:jc w:val="right"/>
              <w:rPr>
                <w:snapToGrid w:val="0"/>
                <w:color w:val="000000"/>
              </w:rPr>
            </w:pPr>
          </w:p>
        </w:tc>
        <w:tc>
          <w:tcPr>
            <w:tcW w:w="180" w:type="dxa"/>
            <w:vAlign w:val="center"/>
          </w:tcPr>
          <w:p w:rsidR="00685411" w:rsidRDefault="00685411">
            <w:pPr>
              <w:jc w:val="right"/>
              <w:rPr>
                <w:snapToGrid w:val="0"/>
                <w:color w:val="000000"/>
              </w:rPr>
            </w:pPr>
          </w:p>
        </w:tc>
        <w:tc>
          <w:tcPr>
            <w:tcW w:w="1180" w:type="dxa"/>
            <w:vAlign w:val="center"/>
          </w:tcPr>
          <w:p w:rsidR="00685411" w:rsidRDefault="00685411">
            <w:pPr>
              <w:jc w:val="right"/>
              <w:rPr>
                <w:snapToGrid w:val="0"/>
                <w:color w:val="000000"/>
              </w:rPr>
            </w:pPr>
          </w:p>
        </w:tc>
        <w:tc>
          <w:tcPr>
            <w:tcW w:w="90" w:type="dxa"/>
            <w:vAlign w:val="center"/>
          </w:tcPr>
          <w:p w:rsidR="00685411" w:rsidRDefault="00685411">
            <w:pPr>
              <w:jc w:val="right"/>
              <w:rPr>
                <w:snapToGrid w:val="0"/>
                <w:color w:val="000000"/>
              </w:rPr>
            </w:pPr>
          </w:p>
        </w:tc>
        <w:tc>
          <w:tcPr>
            <w:tcW w:w="1250" w:type="dxa"/>
            <w:vAlign w:val="center"/>
          </w:tcPr>
          <w:p w:rsidR="00685411" w:rsidRDefault="00685411">
            <w:pPr>
              <w:jc w:val="right"/>
              <w:rPr>
                <w:snapToGrid w:val="0"/>
                <w:color w:val="000000"/>
              </w:rPr>
            </w:pPr>
          </w:p>
        </w:tc>
        <w:tc>
          <w:tcPr>
            <w:tcW w:w="130" w:type="dxa"/>
            <w:vAlign w:val="center"/>
          </w:tcPr>
          <w:p w:rsidR="00685411" w:rsidRDefault="00685411">
            <w:pPr>
              <w:jc w:val="right"/>
              <w:rPr>
                <w:snapToGrid w:val="0"/>
                <w:color w:val="000000"/>
              </w:rPr>
            </w:pPr>
          </w:p>
        </w:tc>
        <w:tc>
          <w:tcPr>
            <w:tcW w:w="1230" w:type="dxa"/>
            <w:vAlign w:val="center"/>
          </w:tcPr>
          <w:p w:rsidR="00685411" w:rsidRDefault="00685411">
            <w:pPr>
              <w:jc w:val="right"/>
              <w:rPr>
                <w:snapToGrid w:val="0"/>
                <w:color w:val="000000"/>
              </w:rPr>
            </w:pPr>
          </w:p>
        </w:tc>
        <w:tc>
          <w:tcPr>
            <w:tcW w:w="80" w:type="dxa"/>
            <w:vAlign w:val="center"/>
          </w:tcPr>
          <w:p w:rsidR="00685411" w:rsidRDefault="00685411">
            <w:pPr>
              <w:jc w:val="right"/>
              <w:rPr>
                <w:snapToGrid w:val="0"/>
                <w:color w:val="000000"/>
              </w:rPr>
            </w:pPr>
          </w:p>
        </w:tc>
        <w:tc>
          <w:tcPr>
            <w:tcW w:w="1188" w:type="dxa"/>
            <w:vAlign w:val="center"/>
          </w:tcPr>
          <w:p w:rsidR="00685411" w:rsidRDefault="00685411">
            <w:pPr>
              <w:jc w:val="right"/>
              <w:rPr>
                <w:snapToGrid w:val="0"/>
                <w:color w:val="000000"/>
              </w:rPr>
            </w:pPr>
          </w:p>
        </w:tc>
      </w:tr>
    </w:tbl>
    <w:p w:rsidR="00685411" w:rsidRDefault="001405FF">
      <w:pPr>
        <w:tabs>
          <w:tab w:val="left" w:pos="864"/>
          <w:tab w:val="left" w:pos="1584"/>
          <w:tab w:val="left" w:pos="7056"/>
          <w:tab w:val="left" w:pos="8496"/>
        </w:tabs>
        <w:ind w:right="14"/>
        <w:rPr>
          <w:sz w:val="20"/>
        </w:rPr>
      </w:pPr>
      <w:r>
        <w:rPr>
          <w:sz w:val="20"/>
        </w:rPr>
        <w:t>(*) Reflected at historical amounts.</w:t>
      </w:r>
    </w:p>
    <w:p w:rsidR="00685411" w:rsidRDefault="001405FF">
      <w:pPr>
        <w:pStyle w:val="BodyText2"/>
        <w:jc w:val="center"/>
      </w:pPr>
      <w:r>
        <w:br w:type="page"/>
      </w:r>
    </w:p>
    <w:p w:rsidR="00685411" w:rsidRDefault="001405FF">
      <w:pPr>
        <w:pStyle w:val="BodyText2"/>
        <w:jc w:val="center"/>
      </w:pPr>
      <w:r>
        <w:t>-11-</w:t>
      </w:r>
    </w:p>
    <w:p w:rsidR="00685411" w:rsidRDefault="00685411">
      <w:pPr>
        <w:tabs>
          <w:tab w:val="left" w:pos="576"/>
          <w:tab w:val="left" w:pos="864"/>
          <w:tab w:val="left" w:pos="1584"/>
          <w:tab w:val="left" w:pos="2016"/>
          <w:tab w:val="left" w:pos="4032"/>
        </w:tabs>
        <w:ind w:right="14"/>
      </w:pPr>
    </w:p>
    <w:p w:rsidR="00685411" w:rsidRDefault="001405FF">
      <w:pPr>
        <w:tabs>
          <w:tab w:val="left" w:pos="576"/>
          <w:tab w:val="left" w:pos="864"/>
          <w:tab w:val="left" w:pos="1584"/>
          <w:tab w:val="left" w:pos="2016"/>
          <w:tab w:val="left" w:pos="4032"/>
        </w:tabs>
        <w:ind w:right="14"/>
        <w:jc w:val="center"/>
      </w:pPr>
      <w:r>
        <w:t xml:space="preserve"> (CONVENIENCE TRANSLATION OF A REPORT AND FINANCIAL STATEMENTS ORIGINALLY ISSUED IN TURKISH – SEE NOTE 9)</w:t>
      </w:r>
    </w:p>
    <w:p w:rsidR="00685411" w:rsidRDefault="00685411">
      <w:pPr>
        <w:tabs>
          <w:tab w:val="left" w:pos="864"/>
          <w:tab w:val="left" w:pos="1584"/>
          <w:tab w:val="left" w:pos="7056"/>
          <w:tab w:val="left" w:pos="8496"/>
        </w:tabs>
        <w:ind w:right="14"/>
      </w:pPr>
    </w:p>
    <w:p w:rsidR="00685411" w:rsidRDefault="001405FF">
      <w:pPr>
        <w:pStyle w:val="BlockText"/>
        <w:tabs>
          <w:tab w:val="left" w:pos="7056"/>
          <w:tab w:val="left" w:pos="8496"/>
        </w:tabs>
        <w:ind w:left="0" w:right="14" w:firstLine="0"/>
        <w:rPr>
          <w:b/>
          <w:u w:val="single"/>
        </w:rPr>
      </w:pPr>
      <w:r>
        <w:rPr>
          <w:b/>
        </w:rPr>
        <w:t>(16)  REVALUATION SURPLUS, GENERATED DUE TO INTERCOMPANY FIXED ASSET</w:t>
      </w:r>
      <w:r>
        <w:rPr>
          <w:b/>
          <w:u w:val="single"/>
        </w:rPr>
        <w:t xml:space="preserve"> </w:t>
      </w:r>
    </w:p>
    <w:p w:rsidR="00685411" w:rsidRDefault="001405FF">
      <w:pPr>
        <w:pStyle w:val="BlockText"/>
        <w:tabs>
          <w:tab w:val="left" w:pos="7056"/>
          <w:tab w:val="left" w:pos="8496"/>
        </w:tabs>
        <w:ind w:left="0" w:right="14" w:firstLine="0"/>
        <w:rPr>
          <w:b/>
          <w:u w:val="single"/>
        </w:rPr>
      </w:pPr>
      <w:r>
        <w:rPr>
          <w:b/>
          <w:u w:val="single"/>
        </w:rPr>
        <w:t xml:space="preserve">         PURCHASE AND SALE WHICH HAS BEEN ADDED TO SHARE CAPITAL         :</w:t>
      </w:r>
    </w:p>
    <w:p w:rsidR="00685411" w:rsidRDefault="00685411">
      <w:pPr>
        <w:tabs>
          <w:tab w:val="left" w:pos="864"/>
          <w:tab w:val="left" w:pos="1584"/>
          <w:tab w:val="left" w:pos="7056"/>
          <w:tab w:val="left" w:pos="8496"/>
        </w:tabs>
        <w:ind w:right="14"/>
      </w:pPr>
    </w:p>
    <w:p w:rsidR="00685411" w:rsidRDefault="001405FF">
      <w:pPr>
        <w:tabs>
          <w:tab w:val="left" w:pos="864"/>
          <w:tab w:val="left" w:pos="1584"/>
          <w:tab w:val="left" w:pos="7056"/>
          <w:tab w:val="left" w:pos="8496"/>
        </w:tabs>
        <w:ind w:right="14"/>
      </w:pPr>
      <w:r>
        <w:t>None.</w:t>
      </w:r>
    </w:p>
    <w:p w:rsidR="00685411" w:rsidRDefault="00685411">
      <w:pPr>
        <w:tabs>
          <w:tab w:val="left" w:pos="864"/>
          <w:tab w:val="left" w:pos="1584"/>
          <w:tab w:val="left" w:pos="7056"/>
          <w:tab w:val="left" w:pos="8496"/>
        </w:tabs>
        <w:ind w:right="14"/>
      </w:pPr>
    </w:p>
    <w:p w:rsidR="00685411" w:rsidRDefault="001405FF">
      <w:pPr>
        <w:tabs>
          <w:tab w:val="left" w:pos="864"/>
          <w:tab w:val="left" w:pos="1584"/>
          <w:tab w:val="left" w:pos="7056"/>
          <w:tab w:val="left" w:pos="8496"/>
        </w:tabs>
        <w:ind w:right="14"/>
        <w:rPr>
          <w:b/>
          <w:u w:val="single"/>
        </w:rPr>
      </w:pPr>
      <w:r>
        <w:rPr>
          <w:b/>
        </w:rPr>
        <w:t>(17)  POSITIVE OR NEGATIVE GOODWILL GENERATED DUE TO SUBSIDIARIES</w:t>
      </w:r>
      <w:r>
        <w:rPr>
          <w:b/>
          <w:u w:val="single"/>
        </w:rPr>
        <w:t xml:space="preserve"> </w:t>
      </w:r>
      <w:r>
        <w:rPr>
          <w:b/>
        </w:rPr>
        <w:t>WHOSE FINANCIAL STATEMENTS HAVE BEEN</w:t>
      </w:r>
      <w:r>
        <w:rPr>
          <w:b/>
          <w:u w:val="single"/>
        </w:rPr>
        <w:t xml:space="preserve"> CONSOLIDATED              </w:t>
      </w:r>
      <w:r>
        <w:rPr>
          <w:b/>
          <w:u w:val="single"/>
        </w:rPr>
        <w:tab/>
      </w:r>
      <w:r>
        <w:rPr>
          <w:b/>
          <w:u w:val="single"/>
        </w:rPr>
        <w:tab/>
        <w:t>:</w:t>
      </w:r>
    </w:p>
    <w:p w:rsidR="00685411" w:rsidRDefault="00685411">
      <w:pPr>
        <w:tabs>
          <w:tab w:val="left" w:pos="864"/>
          <w:tab w:val="left" w:pos="1584"/>
          <w:tab w:val="left" w:pos="7056"/>
          <w:tab w:val="left" w:pos="8496"/>
        </w:tabs>
        <w:ind w:right="14"/>
      </w:pPr>
    </w:p>
    <w:p w:rsidR="00685411" w:rsidRDefault="001405FF">
      <w:pPr>
        <w:tabs>
          <w:tab w:val="left" w:pos="864"/>
          <w:tab w:val="left" w:pos="1584"/>
          <w:tab w:val="left" w:pos="7056"/>
          <w:tab w:val="left" w:pos="8496"/>
        </w:tabs>
        <w:ind w:right="14"/>
        <w:jc w:val="both"/>
      </w:pPr>
      <w:r>
        <w:t>The negative difference due to the chan</w:t>
      </w:r>
      <w:r>
        <w:t>ges in the shareholding structure in 2000 amounting to TL528 between the cost and the net asset value per share of TEB Finansal at September 30, 2002, has been reflected as the negative consolidation goodwill caption and the positive difference between the</w:t>
      </w:r>
      <w:r>
        <w:t xml:space="preserve"> cost and the net asset value per share of TEB Factoring which amounts to TL275 has been recorded as goodwill in the accompanying consolidated financial statements.</w:t>
      </w:r>
    </w:p>
    <w:p w:rsidR="00685411" w:rsidRDefault="00685411">
      <w:pPr>
        <w:tabs>
          <w:tab w:val="left" w:pos="1584"/>
          <w:tab w:val="left" w:pos="7200"/>
          <w:tab w:val="left" w:pos="8496"/>
        </w:tabs>
        <w:ind w:right="14"/>
      </w:pPr>
    </w:p>
    <w:p w:rsidR="00685411" w:rsidRDefault="001405FF">
      <w:pPr>
        <w:tabs>
          <w:tab w:val="left" w:pos="1584"/>
          <w:tab w:val="left" w:pos="7200"/>
          <w:tab w:val="left" w:pos="8496"/>
        </w:tabs>
        <w:ind w:right="14"/>
        <w:rPr>
          <w:b/>
          <w:u w:val="single"/>
        </w:rPr>
      </w:pPr>
      <w:r>
        <w:rPr>
          <w:b/>
        </w:rPr>
        <w:t>(18)  “OTHER” BALANCES IN THE ACCOMPANYING FINANCIAL STATEMENTS WHICH HAVE SIGNIFICANCE FO</w:t>
      </w:r>
      <w:r>
        <w:rPr>
          <w:b/>
        </w:rPr>
        <w:t xml:space="preserve">R DIFFERENT KINDS OF </w:t>
      </w:r>
      <w:r>
        <w:rPr>
          <w:b/>
          <w:u w:val="single"/>
        </w:rPr>
        <w:t>FINANCIAL  INSTITUTIONS                                                                                             :</w:t>
      </w:r>
    </w:p>
    <w:p w:rsidR="00685411" w:rsidRDefault="00685411">
      <w:pPr>
        <w:tabs>
          <w:tab w:val="left" w:pos="1584"/>
          <w:tab w:val="left" w:pos="7200"/>
          <w:tab w:val="left" w:pos="8496"/>
        </w:tabs>
        <w:ind w:right="14"/>
      </w:pPr>
    </w:p>
    <w:p w:rsidR="00685411" w:rsidRDefault="001405FF">
      <w:pPr>
        <w:tabs>
          <w:tab w:val="left" w:pos="1584"/>
          <w:tab w:val="left" w:pos="7200"/>
          <w:tab w:val="left" w:pos="8496"/>
        </w:tabs>
        <w:ind w:right="14"/>
      </w:pPr>
      <w:r>
        <w:t>None.</w:t>
      </w:r>
    </w:p>
    <w:p w:rsidR="00685411" w:rsidRDefault="00685411">
      <w:pPr>
        <w:tabs>
          <w:tab w:val="left" w:pos="1584"/>
          <w:tab w:val="left" w:pos="7200"/>
          <w:tab w:val="left" w:pos="8496"/>
        </w:tabs>
        <w:ind w:right="14"/>
      </w:pPr>
    </w:p>
    <w:p w:rsidR="00685411" w:rsidRDefault="001405FF">
      <w:pPr>
        <w:tabs>
          <w:tab w:val="left" w:pos="1584"/>
          <w:tab w:val="left" w:pos="7200"/>
          <w:tab w:val="left" w:pos="8496"/>
        </w:tabs>
        <w:ind w:right="14"/>
        <w:rPr>
          <w:b/>
          <w:u w:val="single"/>
        </w:rPr>
      </w:pPr>
      <w:r>
        <w:rPr>
          <w:b/>
          <w:u w:val="single"/>
        </w:rPr>
        <w:t>(19)  SHARE CAPITAL:</w:t>
      </w:r>
    </w:p>
    <w:p w:rsidR="00685411" w:rsidRDefault="00685411">
      <w:pPr>
        <w:tabs>
          <w:tab w:val="left" w:pos="432"/>
          <w:tab w:val="left" w:pos="864"/>
          <w:tab w:val="left" w:pos="1152"/>
        </w:tabs>
        <w:ind w:right="14"/>
      </w:pPr>
    </w:p>
    <w:p w:rsidR="00685411" w:rsidRDefault="001405FF">
      <w:pPr>
        <w:tabs>
          <w:tab w:val="left" w:pos="432"/>
          <w:tab w:val="left" w:pos="864"/>
          <w:tab w:val="left" w:pos="1152"/>
        </w:tabs>
        <w:ind w:right="14"/>
        <w:jc w:val="both"/>
      </w:pPr>
      <w:r>
        <w:t xml:space="preserve">As of September 30, 2002, the Bank’s statutory issued and paid-in share capital </w:t>
      </w:r>
      <w:r>
        <w:t>consists of issued authorized and fully paid 110,250 million shares having a par value of five hundred Turkish lira (in full TL) each.</w:t>
      </w:r>
    </w:p>
    <w:p w:rsidR="00685411" w:rsidRDefault="00685411">
      <w:pPr>
        <w:tabs>
          <w:tab w:val="left" w:pos="432"/>
          <w:tab w:val="left" w:pos="864"/>
          <w:tab w:val="left" w:pos="1152"/>
        </w:tabs>
        <w:ind w:right="14"/>
      </w:pPr>
    </w:p>
    <w:p w:rsidR="00685411" w:rsidRDefault="001405FF">
      <w:pPr>
        <w:tabs>
          <w:tab w:val="left" w:pos="432"/>
          <w:tab w:val="left" w:pos="864"/>
          <w:tab w:val="left" w:pos="1152"/>
        </w:tabs>
        <w:ind w:right="14"/>
        <w:jc w:val="both"/>
      </w:pPr>
      <w:r>
        <w:t>As of September 30, 2002, the authorized and paid-in share capital of the Bank is as follows:</w:t>
      </w:r>
    </w:p>
    <w:p w:rsidR="00685411" w:rsidRDefault="00685411">
      <w:pPr>
        <w:tabs>
          <w:tab w:val="left" w:pos="1584"/>
          <w:tab w:val="left" w:pos="7200"/>
          <w:tab w:val="left" w:pos="8496"/>
        </w:tabs>
        <w:ind w:right="14"/>
      </w:pPr>
    </w:p>
    <w:tbl>
      <w:tblPr>
        <w:tblW w:w="0" w:type="auto"/>
        <w:tblInd w:w="360" w:type="dxa"/>
        <w:tblLayout w:type="fixed"/>
        <w:tblLook w:val="0000" w:firstRow="0" w:lastRow="0" w:firstColumn="0" w:lastColumn="0" w:noHBand="0" w:noVBand="0"/>
      </w:tblPr>
      <w:tblGrid>
        <w:gridCol w:w="2972"/>
        <w:gridCol w:w="242"/>
        <w:gridCol w:w="1238"/>
        <w:gridCol w:w="236"/>
        <w:gridCol w:w="991"/>
      </w:tblGrid>
      <w:tr w:rsidR="00685411">
        <w:trPr>
          <w:cantSplit/>
        </w:trPr>
        <w:tc>
          <w:tcPr>
            <w:tcW w:w="2972" w:type="dxa"/>
          </w:tcPr>
          <w:p w:rsidR="00685411" w:rsidRDefault="00685411">
            <w:pPr>
              <w:rPr>
                <w:u w:val="single"/>
              </w:rPr>
            </w:pPr>
          </w:p>
        </w:tc>
        <w:tc>
          <w:tcPr>
            <w:tcW w:w="242" w:type="dxa"/>
          </w:tcPr>
          <w:p w:rsidR="00685411" w:rsidRDefault="00685411"/>
        </w:tc>
        <w:tc>
          <w:tcPr>
            <w:tcW w:w="2465" w:type="dxa"/>
            <w:gridSpan w:val="3"/>
            <w:tcBorders>
              <w:bottom w:val="single" w:sz="6" w:space="0" w:color="auto"/>
            </w:tcBorders>
          </w:tcPr>
          <w:p w:rsidR="00685411" w:rsidRDefault="001405FF">
            <w:pPr>
              <w:jc w:val="center"/>
            </w:pPr>
            <w:r>
              <w:t>September 30, 2002</w:t>
            </w:r>
          </w:p>
        </w:tc>
      </w:tr>
      <w:tr w:rsidR="00685411">
        <w:trPr>
          <w:cantSplit/>
        </w:trPr>
        <w:tc>
          <w:tcPr>
            <w:tcW w:w="2972" w:type="dxa"/>
          </w:tcPr>
          <w:p w:rsidR="00685411" w:rsidRDefault="00685411">
            <w:pPr>
              <w:rPr>
                <w:u w:val="single"/>
              </w:rPr>
            </w:pPr>
          </w:p>
        </w:tc>
        <w:tc>
          <w:tcPr>
            <w:tcW w:w="242" w:type="dxa"/>
          </w:tcPr>
          <w:p w:rsidR="00685411" w:rsidRDefault="00685411"/>
        </w:tc>
        <w:tc>
          <w:tcPr>
            <w:tcW w:w="1238" w:type="dxa"/>
            <w:tcBorders>
              <w:bottom w:val="single" w:sz="6" w:space="0" w:color="auto"/>
            </w:tcBorders>
          </w:tcPr>
          <w:p w:rsidR="00685411" w:rsidRDefault="001405FF">
            <w:pPr>
              <w:jc w:val="center"/>
            </w:pPr>
            <w:r>
              <w:t>Amount (*)</w:t>
            </w:r>
          </w:p>
        </w:tc>
        <w:tc>
          <w:tcPr>
            <w:tcW w:w="236" w:type="dxa"/>
          </w:tcPr>
          <w:p w:rsidR="00685411" w:rsidRDefault="00685411"/>
        </w:tc>
        <w:tc>
          <w:tcPr>
            <w:tcW w:w="991" w:type="dxa"/>
            <w:tcBorders>
              <w:bottom w:val="single" w:sz="6" w:space="0" w:color="auto"/>
            </w:tcBorders>
          </w:tcPr>
          <w:p w:rsidR="00685411" w:rsidRDefault="001405FF">
            <w:pPr>
              <w:jc w:val="center"/>
            </w:pPr>
            <w:r>
              <w:t>%</w:t>
            </w:r>
          </w:p>
        </w:tc>
      </w:tr>
      <w:tr w:rsidR="00685411">
        <w:trPr>
          <w:cantSplit/>
        </w:trPr>
        <w:tc>
          <w:tcPr>
            <w:tcW w:w="2972" w:type="dxa"/>
          </w:tcPr>
          <w:p w:rsidR="00685411" w:rsidRDefault="00685411">
            <w:pPr>
              <w:rPr>
                <w:u w:val="single"/>
              </w:rPr>
            </w:pPr>
          </w:p>
        </w:tc>
        <w:tc>
          <w:tcPr>
            <w:tcW w:w="242" w:type="dxa"/>
          </w:tcPr>
          <w:p w:rsidR="00685411" w:rsidRDefault="00685411"/>
        </w:tc>
        <w:tc>
          <w:tcPr>
            <w:tcW w:w="1238" w:type="dxa"/>
          </w:tcPr>
          <w:p w:rsidR="00685411" w:rsidRDefault="00685411">
            <w:pPr>
              <w:jc w:val="center"/>
            </w:pPr>
          </w:p>
        </w:tc>
        <w:tc>
          <w:tcPr>
            <w:tcW w:w="236" w:type="dxa"/>
          </w:tcPr>
          <w:p w:rsidR="00685411" w:rsidRDefault="00685411"/>
        </w:tc>
        <w:tc>
          <w:tcPr>
            <w:tcW w:w="991" w:type="dxa"/>
          </w:tcPr>
          <w:p w:rsidR="00685411" w:rsidRDefault="00685411">
            <w:pPr>
              <w:jc w:val="right"/>
            </w:pPr>
          </w:p>
        </w:tc>
      </w:tr>
      <w:tr w:rsidR="00685411">
        <w:trPr>
          <w:cantSplit/>
        </w:trPr>
        <w:tc>
          <w:tcPr>
            <w:tcW w:w="2972" w:type="dxa"/>
            <w:vAlign w:val="center"/>
          </w:tcPr>
          <w:p w:rsidR="00685411" w:rsidRDefault="001405FF">
            <w:r>
              <w:t xml:space="preserve">TEB Mali Yatırımlar A.Ş. </w:t>
            </w:r>
          </w:p>
        </w:tc>
        <w:tc>
          <w:tcPr>
            <w:tcW w:w="242" w:type="dxa"/>
            <w:vAlign w:val="center"/>
          </w:tcPr>
          <w:p w:rsidR="00685411" w:rsidRDefault="00685411"/>
        </w:tc>
        <w:tc>
          <w:tcPr>
            <w:tcW w:w="1238" w:type="dxa"/>
            <w:vAlign w:val="center"/>
          </w:tcPr>
          <w:p w:rsidR="00685411" w:rsidRDefault="001405FF">
            <w:pPr>
              <w:jc w:val="right"/>
            </w:pPr>
            <w:r>
              <w:t>38,631</w:t>
            </w:r>
          </w:p>
        </w:tc>
        <w:tc>
          <w:tcPr>
            <w:tcW w:w="236" w:type="dxa"/>
            <w:vAlign w:val="center"/>
          </w:tcPr>
          <w:p w:rsidR="00685411" w:rsidRDefault="00685411">
            <w:pPr>
              <w:jc w:val="right"/>
            </w:pPr>
          </w:p>
        </w:tc>
        <w:tc>
          <w:tcPr>
            <w:tcW w:w="991" w:type="dxa"/>
            <w:vAlign w:val="center"/>
          </w:tcPr>
          <w:p w:rsidR="00685411" w:rsidRDefault="001405FF">
            <w:pPr>
              <w:jc w:val="right"/>
            </w:pPr>
            <w:r>
              <w:t>70.1</w:t>
            </w:r>
          </w:p>
        </w:tc>
      </w:tr>
      <w:tr w:rsidR="00685411">
        <w:trPr>
          <w:cantSplit/>
        </w:trPr>
        <w:tc>
          <w:tcPr>
            <w:tcW w:w="2972" w:type="dxa"/>
            <w:vAlign w:val="center"/>
          </w:tcPr>
          <w:p w:rsidR="00685411" w:rsidRDefault="001405FF">
            <w:r>
              <w:t>Public shares</w:t>
            </w:r>
          </w:p>
        </w:tc>
        <w:tc>
          <w:tcPr>
            <w:tcW w:w="242" w:type="dxa"/>
            <w:vAlign w:val="center"/>
          </w:tcPr>
          <w:p w:rsidR="00685411" w:rsidRDefault="00685411"/>
        </w:tc>
        <w:tc>
          <w:tcPr>
            <w:tcW w:w="1238" w:type="dxa"/>
            <w:vAlign w:val="center"/>
          </w:tcPr>
          <w:p w:rsidR="00685411" w:rsidRDefault="001405FF">
            <w:pPr>
              <w:jc w:val="right"/>
            </w:pPr>
            <w:r>
              <w:t>11,025</w:t>
            </w:r>
          </w:p>
        </w:tc>
        <w:tc>
          <w:tcPr>
            <w:tcW w:w="236" w:type="dxa"/>
            <w:vAlign w:val="center"/>
          </w:tcPr>
          <w:p w:rsidR="00685411" w:rsidRDefault="00685411">
            <w:pPr>
              <w:jc w:val="right"/>
            </w:pPr>
          </w:p>
        </w:tc>
        <w:tc>
          <w:tcPr>
            <w:tcW w:w="991" w:type="dxa"/>
            <w:vAlign w:val="center"/>
          </w:tcPr>
          <w:p w:rsidR="00685411" w:rsidRDefault="001405FF">
            <w:pPr>
              <w:jc w:val="right"/>
            </w:pPr>
            <w:r>
              <w:t>20.0</w:t>
            </w:r>
          </w:p>
        </w:tc>
      </w:tr>
      <w:tr w:rsidR="00685411">
        <w:trPr>
          <w:cantSplit/>
        </w:trPr>
        <w:tc>
          <w:tcPr>
            <w:tcW w:w="2972" w:type="dxa"/>
            <w:vAlign w:val="center"/>
          </w:tcPr>
          <w:p w:rsidR="00685411" w:rsidRDefault="001405FF">
            <w:r>
              <w:t>Çolakoğlu Metalurji A.Ş.</w:t>
            </w:r>
          </w:p>
        </w:tc>
        <w:tc>
          <w:tcPr>
            <w:tcW w:w="242" w:type="dxa"/>
            <w:vAlign w:val="center"/>
          </w:tcPr>
          <w:p w:rsidR="00685411" w:rsidRDefault="00685411"/>
        </w:tc>
        <w:tc>
          <w:tcPr>
            <w:tcW w:w="1238" w:type="dxa"/>
            <w:vAlign w:val="center"/>
          </w:tcPr>
          <w:p w:rsidR="00685411" w:rsidRDefault="001405FF">
            <w:pPr>
              <w:jc w:val="right"/>
            </w:pPr>
            <w:r>
              <w:t>4,739</w:t>
            </w:r>
          </w:p>
        </w:tc>
        <w:tc>
          <w:tcPr>
            <w:tcW w:w="236" w:type="dxa"/>
            <w:vAlign w:val="center"/>
          </w:tcPr>
          <w:p w:rsidR="00685411" w:rsidRDefault="00685411">
            <w:pPr>
              <w:jc w:val="right"/>
            </w:pPr>
          </w:p>
        </w:tc>
        <w:tc>
          <w:tcPr>
            <w:tcW w:w="991" w:type="dxa"/>
            <w:vAlign w:val="center"/>
          </w:tcPr>
          <w:p w:rsidR="00685411" w:rsidRDefault="001405FF">
            <w:pPr>
              <w:jc w:val="right"/>
            </w:pPr>
            <w:r>
              <w:t>8.6</w:t>
            </w:r>
          </w:p>
        </w:tc>
      </w:tr>
      <w:tr w:rsidR="00685411">
        <w:trPr>
          <w:cantSplit/>
        </w:trPr>
        <w:tc>
          <w:tcPr>
            <w:tcW w:w="2972" w:type="dxa"/>
            <w:vAlign w:val="center"/>
          </w:tcPr>
          <w:p w:rsidR="00685411" w:rsidRDefault="001405FF">
            <w:r>
              <w:t>Others</w:t>
            </w:r>
          </w:p>
        </w:tc>
        <w:tc>
          <w:tcPr>
            <w:tcW w:w="242" w:type="dxa"/>
            <w:vAlign w:val="center"/>
          </w:tcPr>
          <w:p w:rsidR="00685411" w:rsidRDefault="00685411"/>
        </w:tc>
        <w:tc>
          <w:tcPr>
            <w:tcW w:w="1238" w:type="dxa"/>
            <w:vAlign w:val="center"/>
          </w:tcPr>
          <w:p w:rsidR="00685411" w:rsidRDefault="001405FF">
            <w:pPr>
              <w:jc w:val="right"/>
            </w:pPr>
            <w:r>
              <w:t>730</w:t>
            </w:r>
          </w:p>
        </w:tc>
        <w:tc>
          <w:tcPr>
            <w:tcW w:w="236" w:type="dxa"/>
            <w:vAlign w:val="center"/>
          </w:tcPr>
          <w:p w:rsidR="00685411" w:rsidRDefault="00685411">
            <w:pPr>
              <w:jc w:val="right"/>
            </w:pPr>
          </w:p>
        </w:tc>
        <w:tc>
          <w:tcPr>
            <w:tcW w:w="991" w:type="dxa"/>
            <w:vAlign w:val="center"/>
          </w:tcPr>
          <w:p w:rsidR="00685411" w:rsidRDefault="001405FF">
            <w:pPr>
              <w:jc w:val="right"/>
            </w:pPr>
            <w:r>
              <w:t>1.3</w:t>
            </w:r>
          </w:p>
        </w:tc>
      </w:tr>
      <w:tr w:rsidR="00685411">
        <w:trPr>
          <w:cantSplit/>
        </w:trPr>
        <w:tc>
          <w:tcPr>
            <w:tcW w:w="2972" w:type="dxa"/>
            <w:vAlign w:val="center"/>
          </w:tcPr>
          <w:p w:rsidR="00685411" w:rsidRDefault="00685411"/>
        </w:tc>
        <w:tc>
          <w:tcPr>
            <w:tcW w:w="242" w:type="dxa"/>
            <w:vAlign w:val="center"/>
          </w:tcPr>
          <w:p w:rsidR="00685411" w:rsidRDefault="00685411"/>
        </w:tc>
        <w:tc>
          <w:tcPr>
            <w:tcW w:w="1238" w:type="dxa"/>
            <w:tcBorders>
              <w:top w:val="single" w:sz="6" w:space="0" w:color="auto"/>
              <w:bottom w:val="double" w:sz="6" w:space="0" w:color="auto"/>
            </w:tcBorders>
            <w:vAlign w:val="center"/>
          </w:tcPr>
          <w:p w:rsidR="00685411" w:rsidRDefault="001405FF">
            <w:pPr>
              <w:jc w:val="right"/>
            </w:pPr>
            <w:r>
              <w:t>55,125</w:t>
            </w:r>
          </w:p>
        </w:tc>
        <w:tc>
          <w:tcPr>
            <w:tcW w:w="236" w:type="dxa"/>
            <w:vAlign w:val="center"/>
          </w:tcPr>
          <w:p w:rsidR="00685411" w:rsidRDefault="00685411">
            <w:pPr>
              <w:jc w:val="right"/>
            </w:pPr>
          </w:p>
        </w:tc>
        <w:tc>
          <w:tcPr>
            <w:tcW w:w="991" w:type="dxa"/>
            <w:tcBorders>
              <w:top w:val="single" w:sz="6" w:space="0" w:color="auto"/>
              <w:bottom w:val="double" w:sz="6" w:space="0" w:color="auto"/>
            </w:tcBorders>
            <w:vAlign w:val="center"/>
          </w:tcPr>
          <w:p w:rsidR="00685411" w:rsidRDefault="001405FF">
            <w:pPr>
              <w:jc w:val="right"/>
            </w:pPr>
            <w:r>
              <w:t>100.0</w:t>
            </w:r>
          </w:p>
        </w:tc>
      </w:tr>
    </w:tbl>
    <w:p w:rsidR="00685411" w:rsidRDefault="00685411">
      <w:pPr>
        <w:pStyle w:val="BodyText"/>
        <w:tabs>
          <w:tab w:val="left" w:pos="7200"/>
          <w:tab w:val="left" w:pos="8496"/>
        </w:tabs>
        <w:ind w:left="540" w:hanging="540"/>
        <w:jc w:val="both"/>
        <w:rPr>
          <w:sz w:val="20"/>
        </w:rPr>
      </w:pPr>
    </w:p>
    <w:p w:rsidR="00685411" w:rsidRDefault="001405FF">
      <w:pPr>
        <w:pStyle w:val="BodyText"/>
        <w:tabs>
          <w:tab w:val="left" w:pos="7200"/>
          <w:tab w:val="left" w:pos="8496"/>
        </w:tabs>
        <w:ind w:left="540" w:hanging="540"/>
        <w:jc w:val="both"/>
        <w:rPr>
          <w:sz w:val="20"/>
        </w:rPr>
      </w:pPr>
      <w:r>
        <w:rPr>
          <w:sz w:val="20"/>
        </w:rPr>
        <w:t>(*) Representing statutory historical paid-in share capital.</w:t>
      </w:r>
    </w:p>
    <w:p w:rsidR="00685411" w:rsidRDefault="00685411">
      <w:pPr>
        <w:pStyle w:val="BodyText"/>
        <w:tabs>
          <w:tab w:val="left" w:pos="7200"/>
          <w:tab w:val="left" w:pos="8496"/>
        </w:tabs>
        <w:ind w:left="540" w:hanging="540"/>
        <w:jc w:val="both"/>
      </w:pPr>
    </w:p>
    <w:p w:rsidR="00685411" w:rsidRDefault="001405FF">
      <w:pPr>
        <w:tabs>
          <w:tab w:val="left" w:pos="432"/>
          <w:tab w:val="left" w:pos="864"/>
          <w:tab w:val="left" w:pos="1152"/>
        </w:tabs>
        <w:ind w:right="14"/>
        <w:jc w:val="both"/>
      </w:pPr>
      <w:r>
        <w:t>As of September 30, 2002, the</w:t>
      </w:r>
      <w:r>
        <w:t xml:space="preserve"> shareholding structure of the Bank and Subsidiaries are shown in Appendix 1.</w:t>
      </w:r>
    </w:p>
    <w:p w:rsidR="00685411" w:rsidRDefault="001405FF">
      <w:pPr>
        <w:pStyle w:val="BodyText2"/>
        <w:jc w:val="center"/>
      </w:pPr>
      <w:r>
        <w:br w:type="page"/>
      </w:r>
    </w:p>
    <w:p w:rsidR="00685411" w:rsidRDefault="00685411">
      <w:pPr>
        <w:pStyle w:val="BodyText2"/>
        <w:jc w:val="center"/>
      </w:pPr>
    </w:p>
    <w:p w:rsidR="00685411" w:rsidRDefault="001405FF">
      <w:pPr>
        <w:pStyle w:val="BodyText2"/>
        <w:jc w:val="center"/>
      </w:pPr>
      <w:r>
        <w:t>-12-</w:t>
      </w:r>
    </w:p>
    <w:p w:rsidR="00685411" w:rsidRDefault="00685411">
      <w:pPr>
        <w:tabs>
          <w:tab w:val="left" w:pos="576"/>
          <w:tab w:val="left" w:pos="864"/>
          <w:tab w:val="left" w:pos="1584"/>
          <w:tab w:val="left" w:pos="2016"/>
          <w:tab w:val="left" w:pos="4032"/>
        </w:tabs>
        <w:ind w:right="14"/>
        <w:jc w:val="center"/>
      </w:pPr>
    </w:p>
    <w:p w:rsidR="00685411" w:rsidRDefault="001405FF">
      <w:pPr>
        <w:tabs>
          <w:tab w:val="left" w:pos="576"/>
          <w:tab w:val="left" w:pos="864"/>
          <w:tab w:val="left" w:pos="1584"/>
          <w:tab w:val="left" w:pos="2016"/>
          <w:tab w:val="left" w:pos="4032"/>
        </w:tabs>
        <w:ind w:right="14"/>
        <w:jc w:val="center"/>
      </w:pPr>
      <w:r>
        <w:t>(CONVENIENCE TRANSLATION OF A REPORT AND FINANCIAL STATEMENTS ORIGINALLY ISSUED IN TURKISH – SEE NOTE 9)</w:t>
      </w:r>
    </w:p>
    <w:p w:rsidR="00685411" w:rsidRDefault="00685411">
      <w:pPr>
        <w:tabs>
          <w:tab w:val="left" w:pos="1584"/>
          <w:tab w:val="left" w:pos="7200"/>
          <w:tab w:val="left" w:pos="8496"/>
        </w:tabs>
        <w:ind w:right="14"/>
      </w:pPr>
    </w:p>
    <w:p w:rsidR="00685411" w:rsidRDefault="001405FF">
      <w:pPr>
        <w:tabs>
          <w:tab w:val="left" w:pos="1584"/>
          <w:tab w:val="left" w:pos="7200"/>
          <w:tab w:val="left" w:pos="8496"/>
        </w:tabs>
        <w:ind w:right="14"/>
        <w:rPr>
          <w:b/>
          <w:u w:val="single"/>
        </w:rPr>
      </w:pPr>
      <w:r>
        <w:rPr>
          <w:b/>
          <w:u w:val="single"/>
        </w:rPr>
        <w:t>(20) SUBSEQUENT EVENTS:</w:t>
      </w:r>
    </w:p>
    <w:p w:rsidR="00685411" w:rsidRDefault="00685411">
      <w:pPr>
        <w:tabs>
          <w:tab w:val="left" w:pos="1584"/>
          <w:tab w:val="left" w:pos="7200"/>
          <w:tab w:val="left" w:pos="8496"/>
        </w:tabs>
        <w:ind w:right="14"/>
        <w:jc w:val="both"/>
      </w:pPr>
    </w:p>
    <w:p w:rsidR="00685411" w:rsidRDefault="001405FF">
      <w:pPr>
        <w:tabs>
          <w:tab w:val="left" w:pos="1584"/>
          <w:tab w:val="left" w:pos="7200"/>
          <w:tab w:val="left" w:pos="8496"/>
        </w:tabs>
        <w:ind w:right="14"/>
        <w:jc w:val="both"/>
      </w:pPr>
      <w:r>
        <w:t xml:space="preserve">Effective October 1, 2002, the </w:t>
      </w:r>
      <w:r>
        <w:t xml:space="preserve">retirement pay ceiling has been increased to TL1,260 million. </w:t>
      </w:r>
    </w:p>
    <w:p w:rsidR="00685411" w:rsidRDefault="00685411">
      <w:pPr>
        <w:tabs>
          <w:tab w:val="left" w:pos="1584"/>
          <w:tab w:val="left" w:pos="7200"/>
          <w:tab w:val="left" w:pos="8496"/>
        </w:tabs>
        <w:ind w:right="14"/>
        <w:jc w:val="both"/>
      </w:pPr>
    </w:p>
    <w:p w:rsidR="00685411" w:rsidRDefault="001405FF">
      <w:pPr>
        <w:tabs>
          <w:tab w:val="left" w:pos="1584"/>
          <w:tab w:val="left" w:pos="7200"/>
          <w:tab w:val="left" w:pos="8496"/>
        </w:tabs>
        <w:ind w:right="14"/>
        <w:jc w:val="both"/>
      </w:pPr>
      <w:r>
        <w:t>In November 2002, the Bank has acquired 4 branches of Toprakbank, which is currently being controlled by the Savings Deposit Insurance Fund (SDIF).</w:t>
      </w:r>
    </w:p>
    <w:p w:rsidR="00685411" w:rsidRDefault="00685411">
      <w:pPr>
        <w:tabs>
          <w:tab w:val="left" w:pos="1584"/>
          <w:tab w:val="left" w:pos="7200"/>
          <w:tab w:val="left" w:pos="8496"/>
        </w:tabs>
        <w:ind w:right="14"/>
        <w:jc w:val="both"/>
      </w:pPr>
    </w:p>
    <w:p w:rsidR="00685411" w:rsidRDefault="001405FF">
      <w:pPr>
        <w:tabs>
          <w:tab w:val="left" w:pos="1584"/>
          <w:tab w:val="left" w:pos="7200"/>
          <w:tab w:val="left" w:pos="8496"/>
        </w:tabs>
        <w:ind w:right="14"/>
        <w:rPr>
          <w:b/>
          <w:u w:val="single"/>
        </w:rPr>
      </w:pPr>
      <w:r>
        <w:rPr>
          <w:b/>
          <w:u w:val="single"/>
        </w:rPr>
        <w:t>(21) OTHERS:</w:t>
      </w:r>
    </w:p>
    <w:p w:rsidR="00685411" w:rsidRDefault="00685411">
      <w:pPr>
        <w:tabs>
          <w:tab w:val="left" w:pos="1584"/>
          <w:tab w:val="left" w:pos="7200"/>
          <w:tab w:val="left" w:pos="8496"/>
        </w:tabs>
        <w:ind w:right="14"/>
        <w:jc w:val="both"/>
      </w:pPr>
    </w:p>
    <w:p w:rsidR="00685411" w:rsidRDefault="001405FF">
      <w:pPr>
        <w:tabs>
          <w:tab w:val="left" w:pos="1584"/>
          <w:tab w:val="left" w:pos="7200"/>
          <w:tab w:val="left" w:pos="8496"/>
        </w:tabs>
        <w:ind w:right="14"/>
        <w:jc w:val="both"/>
      </w:pPr>
      <w:r>
        <w:t>According to the special audi</w:t>
      </w:r>
      <w:r>
        <w:t>t results performed in line with the Banking Law 4389 as revised by Law no.4743 Article 4th which was announced on the Official Gazette dated February 1, 2002, Banking Regulation and Supervision Agency has announced with its letter dated June 12, 2002 that</w:t>
      </w:r>
      <w:r>
        <w:t xml:space="preserve"> the Bank does not require any additional capital injection.</w:t>
      </w:r>
    </w:p>
    <w:p w:rsidR="00685411" w:rsidRDefault="00685411">
      <w:pPr>
        <w:tabs>
          <w:tab w:val="left" w:pos="1584"/>
          <w:tab w:val="left" w:pos="7200"/>
          <w:tab w:val="left" w:pos="8496"/>
        </w:tabs>
        <w:ind w:right="14"/>
        <w:jc w:val="both"/>
      </w:pPr>
    </w:p>
    <w:p w:rsidR="00685411" w:rsidRDefault="001405FF">
      <w:pPr>
        <w:tabs>
          <w:tab w:val="left" w:pos="1584"/>
          <w:tab w:val="left" w:pos="7200"/>
          <w:tab w:val="left" w:pos="8496"/>
        </w:tabs>
        <w:ind w:right="14"/>
        <w:jc w:val="both"/>
      </w:pPr>
      <w:r>
        <w:t>The accompanying financial statements as of September 30, 2002, in accordance with the “Accounting Standard on Financial Statements at Hyperinflation Periods” communiqué (No.14) published at Off</w:t>
      </w:r>
      <w:r>
        <w:t>icial Gazette numbered 24793 and dated June 22, 2002, which is related to the “Regulation of Accounting Applications” and effective from July 1, 2002, are not presented comparatively.</w:t>
      </w:r>
    </w:p>
    <w:p w:rsidR="00685411" w:rsidRDefault="00685411">
      <w:pPr>
        <w:tabs>
          <w:tab w:val="left" w:pos="1584"/>
          <w:tab w:val="left" w:pos="7200"/>
          <w:tab w:val="left" w:pos="8496"/>
        </w:tabs>
        <w:ind w:right="14"/>
        <w:jc w:val="both"/>
      </w:pPr>
    </w:p>
    <w:p w:rsidR="00685411" w:rsidRDefault="001405FF">
      <w:pPr>
        <w:tabs>
          <w:tab w:val="left" w:pos="1584"/>
          <w:tab w:val="left" w:pos="7200"/>
          <w:tab w:val="left" w:pos="8496"/>
        </w:tabs>
        <w:ind w:right="14"/>
        <w:jc w:val="both"/>
      </w:pPr>
      <w:r>
        <w:t>The adjusted financial statements of financial subsidiaries, reflecting</w:t>
      </w:r>
      <w:r>
        <w:t xml:space="preserve"> the restatement for the changes in the monetary unit current, required by the “Accounting Standard on Financial Statements at Hyperinflation Periods” communiqué (No.14) published at Official Gazette numbered 24793 and dated June 22, 2002, which is related</w:t>
      </w:r>
      <w:r>
        <w:t xml:space="preserve"> to the “Regulation of Accounting Applications” and effective from July 1, 2002, were taken into consolidation.</w:t>
      </w:r>
    </w:p>
    <w:p w:rsidR="00685411" w:rsidRDefault="00685411">
      <w:pPr>
        <w:tabs>
          <w:tab w:val="left" w:pos="1584"/>
          <w:tab w:val="left" w:pos="7200"/>
          <w:tab w:val="left" w:pos="8496"/>
        </w:tabs>
        <w:ind w:right="14"/>
      </w:pPr>
    </w:p>
    <w:p w:rsidR="00685411" w:rsidRDefault="001405FF">
      <w:pPr>
        <w:tabs>
          <w:tab w:val="center" w:pos="450"/>
        </w:tabs>
        <w:ind w:right="14"/>
        <w:jc w:val="both"/>
        <w:rPr>
          <w:lang w:val="tr-TR"/>
        </w:rPr>
      </w:pPr>
      <w:r>
        <w:t>The Bank has signed an agreement with The International Finance Corporation (IFC) on July 17, 2002, to receive a US$85 million financing facili</w:t>
      </w:r>
      <w:r>
        <w:t>ty. The facility consists of three separate loans. The first loan is a US$15 million, 7 year term, subordinated convertible loan, matching Banking Regulation and Supervision Agency’s Tier II Capital definitions as well as contributing The Bank’s capital ad</w:t>
      </w:r>
      <w:r>
        <w:t>equacy ratio in a positive manner. The second loan is a US$20 million medium-term loan facility to be lent as working capital, investment or export pre-finance needs to TEB’ clients with a 3 month to 5 year maturity from IFC’s own account. The third part a</w:t>
      </w:r>
      <w:r>
        <w:t>llows for the syndication of up to US$50 million from private commercial banks as and when markets recover. Such financing will be obtained when the Bank observes international financing conditions that are acceptable, customers demanded and the maturity a</w:t>
      </w:r>
      <w:r>
        <w:t>nd cost of financing to be determined in terms of market conditions at that time and to be granted to customers parallel with the maturity of financing similar with the second loan part of financing facility.</w:t>
      </w:r>
    </w:p>
    <w:p w:rsidR="00685411" w:rsidRDefault="00685411">
      <w:pPr>
        <w:tabs>
          <w:tab w:val="center" w:pos="450"/>
        </w:tabs>
        <w:ind w:right="14"/>
        <w:jc w:val="both"/>
        <w:rPr>
          <w:lang w:val="tr-TR"/>
        </w:rPr>
      </w:pPr>
    </w:p>
    <w:p w:rsidR="00685411" w:rsidRDefault="001405FF">
      <w:pPr>
        <w:tabs>
          <w:tab w:val="center" w:pos="450"/>
        </w:tabs>
        <w:ind w:right="14"/>
        <w:jc w:val="both"/>
      </w:pPr>
      <w:r>
        <w:t>Since February 2001, Turkey has continued to e</w:t>
      </w:r>
      <w:r>
        <w:t>xperience reduced economic activity and high volatility in foreign exchange rates, money and capital markets. The economic program initiated by the Turkish Government in May 2001, which includes various regulatory changes to create a well-developed busines</w:t>
      </w:r>
      <w:r>
        <w:t>s and regulatory infrastructure, is still in progress.</w:t>
      </w:r>
    </w:p>
    <w:p w:rsidR="00685411" w:rsidRDefault="00685411">
      <w:pPr>
        <w:tabs>
          <w:tab w:val="center" w:pos="450"/>
        </w:tabs>
        <w:ind w:right="14"/>
        <w:jc w:val="both"/>
        <w:sectPr w:rsidR="00685411">
          <w:pgSz w:w="11906" w:h="16838"/>
          <w:pgMar w:top="720" w:right="1418" w:bottom="720" w:left="1418" w:header="708" w:footer="708" w:gutter="0"/>
          <w:cols w:space="708"/>
          <w:docGrid w:linePitch="360"/>
        </w:sectPr>
      </w:pPr>
    </w:p>
    <w:p w:rsidR="00685411" w:rsidRDefault="001405FF">
      <w:pPr>
        <w:tabs>
          <w:tab w:val="center" w:pos="450"/>
        </w:tabs>
        <w:ind w:right="14"/>
        <w:jc w:val="right"/>
      </w:pPr>
      <w:r>
        <w:t>Appendix:1</w:t>
      </w:r>
    </w:p>
    <w:p w:rsidR="00685411" w:rsidRDefault="00685411">
      <w:pPr>
        <w:tabs>
          <w:tab w:val="center" w:pos="450"/>
        </w:tabs>
        <w:ind w:right="14"/>
        <w:jc w:val="right"/>
      </w:pPr>
    </w:p>
    <w:p w:rsidR="00685411" w:rsidRDefault="00685411">
      <w:pPr>
        <w:tabs>
          <w:tab w:val="center" w:pos="450"/>
        </w:tabs>
        <w:ind w:right="14"/>
        <w:jc w:val="right"/>
      </w:pPr>
    </w:p>
    <w:bookmarkStart w:id="1" w:name="_MON_1098182393"/>
    <w:bookmarkEnd w:id="1"/>
    <w:bookmarkStart w:id="2" w:name="_MON_1098182370"/>
    <w:bookmarkEnd w:id="2"/>
    <w:p w:rsidR="00685411" w:rsidRDefault="001405FF">
      <w:pPr>
        <w:tabs>
          <w:tab w:val="center" w:pos="450"/>
        </w:tabs>
        <w:ind w:right="14"/>
      </w:pPr>
      <w:r>
        <w:object w:dxaOrig="8235" w:dyaOrig="117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pt;height:589pt" o:ole="">
            <v:imagedata r:id="rId11" o:title=""/>
          </v:shape>
          <o:OLEObject Type="Embed" ProgID="Excel.Sheet.8" ShapeID="_x0000_i1025" DrawAspect="Content" ObjectID="_1541832487" r:id="rId12"/>
        </w:object>
      </w:r>
    </w:p>
    <w:sectPr w:rsidR="00685411">
      <w:pgSz w:w="11906" w:h="16838" w:code="9"/>
      <w:pgMar w:top="720" w:right="1418"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5411" w:rsidRDefault="00B44DC1">
      <w:r>
        <w:separator/>
      </w:r>
    </w:p>
  </w:endnote>
  <w:endnote w:type="continuationSeparator" w:id="0">
    <w:p w:rsidR="00685411" w:rsidRDefault="00B44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Book Antiqua">
    <w:panose1 w:val="02040602050305030304"/>
    <w:charset w:val="A2"/>
    <w:family w:val="roman"/>
    <w:pitch w:val="variable"/>
    <w:sig w:usb0="00000287" w:usb1="00000000" w:usb2="00000000" w:usb3="00000000" w:csb0="0000009F" w:csb1="00000000"/>
  </w:font>
  <w:font w:name="Arial TUR">
    <w:panose1 w:val="020B0604020202020204"/>
    <w:charset w:val="A2"/>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A Normal">
    <w:altName w:val="Courier New"/>
    <w:panose1 w:val="00000000000000000000"/>
    <w:charset w:val="00"/>
    <w:family w:val="modern"/>
    <w:notTrueType/>
    <w:pitch w:val="fixed"/>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5411" w:rsidRDefault="00B44DC1">
      <w:r>
        <w:separator/>
      </w:r>
    </w:p>
  </w:footnote>
  <w:footnote w:type="continuationSeparator" w:id="0">
    <w:p w:rsidR="00685411" w:rsidRDefault="00B44D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411" w:rsidRDefault="00B44DC1">
    <w:pPr>
      <w:pStyle w:val="Header"/>
      <w:jc w:val="right"/>
      <w:rPr>
        <w:lang w:val="tr-TR"/>
      </w:rPr>
    </w:pPr>
    <w:r>
      <w:rPr>
        <w:lang w:val="tr-TR"/>
      </w:rPr>
      <w:t>TÜRK EKONOMİ BANKASI A.Ş.</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411" w:rsidRDefault="00B44DC1">
    <w:pPr>
      <w:pStyle w:val="Header"/>
      <w:jc w:val="right"/>
      <w:rPr>
        <w:lang w:val="tr-TR"/>
      </w:rPr>
    </w:pPr>
    <w:r>
      <w:rPr>
        <w:lang w:val="tr-TR"/>
      </w:rPr>
      <w:t>TÜRK EKONOMİ BANKASI A.Ş.</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411" w:rsidRDefault="00B44DC1">
    <w:pPr>
      <w:pStyle w:val="Header"/>
      <w:jc w:val="right"/>
      <w:rPr>
        <w:lang w:val="tr-TR"/>
      </w:rPr>
    </w:pPr>
    <w:r>
      <w:rPr>
        <w:lang w:val="tr-TR"/>
      </w:rPr>
      <w:t>TÜRK EKONOMİ BANKASI A.Ş.</w:t>
    </w:r>
  </w:p>
  <w:p w:rsidR="00685411" w:rsidRDefault="00685411">
    <w:pPr>
      <w:pStyle w:val="Header"/>
      <w:rPr>
        <w:lang w:val="de-D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DA3C11"/>
    <w:multiLevelType w:val="singleLevel"/>
    <w:tmpl w:val="31BE9F50"/>
    <w:lvl w:ilvl="0">
      <w:start w:val="68"/>
      <w:numFmt w:val="bullet"/>
      <w:lvlText w:val="-"/>
      <w:lvlJc w:val="left"/>
      <w:pPr>
        <w:tabs>
          <w:tab w:val="num" w:pos="360"/>
        </w:tabs>
        <w:ind w:left="360" w:hanging="360"/>
      </w:pPr>
      <w:rPr>
        <w:rFonts w:ascii="Times New Roman" w:hAnsi="Times New Roman"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DC1"/>
    <w:rsid w:val="001405FF"/>
    <w:rsid w:val="00685411"/>
    <w:rsid w:val="00B44DC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2">
    <w:name w:val="heading 2"/>
    <w:basedOn w:val="Normal"/>
    <w:next w:val="Normal"/>
    <w:qFormat/>
    <w:pPr>
      <w:keepNext/>
      <w:jc w:val="center"/>
      <w:outlineLvl w:val="1"/>
    </w:pPr>
    <w:rPr>
      <w:rFonts w:ascii="Arial" w:hAnsi="Arial"/>
      <w:b/>
      <w:szCs w:val="20"/>
      <w:u w:val="single"/>
    </w:rPr>
  </w:style>
  <w:style w:type="paragraph" w:styleId="Heading4">
    <w:name w:val="heading 4"/>
    <w:basedOn w:val="Normal"/>
    <w:next w:val="Normal"/>
    <w:qFormat/>
    <w:pPr>
      <w:keepNext/>
      <w:jc w:val="center"/>
      <w:outlineLvl w:val="3"/>
    </w:pPr>
    <w:rPr>
      <w:rFonts w:ascii="Arial" w:hAnsi="Arial" w:cs="Arial"/>
      <w:b/>
      <w:sz w:val="28"/>
      <w:szCs w:val="20"/>
    </w:rPr>
  </w:style>
  <w:style w:type="paragraph" w:styleId="Heading7">
    <w:name w:val="heading 7"/>
    <w:basedOn w:val="Normal"/>
    <w:next w:val="Normal"/>
    <w:qFormat/>
    <w:pPr>
      <w:keepNext/>
      <w:ind w:left="252" w:hanging="252"/>
      <w:outlineLvl w:val="6"/>
    </w:pPr>
    <w:rPr>
      <w:rFonts w:ascii="Arial" w:hAnsi="Arial"/>
      <w:sz w:val="22"/>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left" w:pos="864"/>
        <w:tab w:val="left" w:pos="2160"/>
        <w:tab w:val="left" w:pos="8280"/>
      </w:tabs>
      <w:ind w:right="-706"/>
    </w:pPr>
    <w:rPr>
      <w:rFonts w:ascii="Arial" w:hAnsi="Arial"/>
      <w:sz w:val="22"/>
      <w:szCs w:val="20"/>
      <w:lang w:eastAsia="tr-TR"/>
    </w:rPr>
  </w:style>
  <w:style w:type="paragraph" w:styleId="Header">
    <w:name w:val="header"/>
    <w:basedOn w:val="Normal"/>
    <w:semiHidden/>
    <w:pPr>
      <w:tabs>
        <w:tab w:val="center" w:pos="4536"/>
        <w:tab w:val="right" w:pos="9072"/>
      </w:tabs>
    </w:pPr>
    <w:rPr>
      <w:sz w:val="20"/>
      <w:szCs w:val="20"/>
      <w:lang w:eastAsia="tr-TR"/>
    </w:rPr>
  </w:style>
  <w:style w:type="paragraph" w:customStyle="1" w:styleId="ABLOCKPARA12">
    <w:name w:val="A BLOCK PARA 12"/>
    <w:basedOn w:val="Normal"/>
    <w:pPr>
      <w:spacing w:before="240"/>
    </w:pPr>
    <w:rPr>
      <w:rFonts w:ascii="Book Antiqua" w:hAnsi="Book Antiqua"/>
      <w:b/>
      <w:smallCaps/>
      <w:szCs w:val="20"/>
      <w:lang w:eastAsia="tr-TR"/>
    </w:rPr>
  </w:style>
  <w:style w:type="paragraph" w:styleId="BodyText2">
    <w:name w:val="Body Text 2"/>
    <w:basedOn w:val="Normal"/>
    <w:semiHidden/>
    <w:pPr>
      <w:tabs>
        <w:tab w:val="left" w:pos="864"/>
        <w:tab w:val="left" w:pos="2160"/>
        <w:tab w:val="left" w:pos="8280"/>
      </w:tabs>
      <w:ind w:right="-256"/>
      <w:jc w:val="both"/>
    </w:pPr>
    <w:rPr>
      <w:sz w:val="20"/>
    </w:rPr>
  </w:style>
  <w:style w:type="paragraph" w:customStyle="1" w:styleId="xl26">
    <w:name w:val="xl26"/>
    <w:basedOn w:val="Normal"/>
    <w:pPr>
      <w:spacing w:before="100" w:beforeAutospacing="1" w:after="100" w:afterAutospacing="1"/>
    </w:pPr>
    <w:rPr>
      <w:rFonts w:ascii="Arial TUR" w:eastAsia="Arial Unicode MS" w:hAnsi="Arial TUR" w:cs="Arial TUR"/>
      <w:b/>
      <w:bCs/>
      <w:u w:val="single"/>
    </w:rPr>
  </w:style>
  <w:style w:type="paragraph" w:customStyle="1" w:styleId="xl27">
    <w:name w:val="xl27"/>
    <w:basedOn w:val="Normal"/>
    <w:pPr>
      <w:spacing w:before="100" w:beforeAutospacing="1" w:after="100" w:afterAutospacing="1"/>
    </w:pPr>
    <w:rPr>
      <w:rFonts w:ascii="Arial TUR" w:eastAsia="Arial Unicode MS" w:hAnsi="Arial TUR" w:cs="Arial TUR"/>
      <w:u w:val="single"/>
    </w:rPr>
  </w:style>
  <w:style w:type="paragraph" w:customStyle="1" w:styleId="xl28">
    <w:name w:val="xl28"/>
    <w:basedOn w:val="Normal"/>
    <w:pPr>
      <w:spacing w:before="100" w:beforeAutospacing="1" w:after="100" w:afterAutospacing="1"/>
      <w:jc w:val="center"/>
    </w:pPr>
    <w:rPr>
      <w:rFonts w:ascii="Arial TUR" w:eastAsia="Arial Unicode MS" w:hAnsi="Arial TUR" w:cs="Arial TUR"/>
      <w:b/>
      <w:bCs/>
    </w:rPr>
  </w:style>
  <w:style w:type="paragraph" w:customStyle="1" w:styleId="xl29">
    <w:name w:val="xl29"/>
    <w:basedOn w:val="Normal"/>
    <w:pPr>
      <w:spacing w:before="100" w:beforeAutospacing="1" w:after="100" w:afterAutospacing="1"/>
      <w:jc w:val="center"/>
    </w:pPr>
    <w:rPr>
      <w:rFonts w:ascii="Arial TUR" w:eastAsia="Arial Unicode MS" w:hAnsi="Arial TUR" w:cs="Arial TUR"/>
    </w:rPr>
  </w:style>
  <w:style w:type="paragraph" w:customStyle="1" w:styleId="xl30">
    <w:name w:val="xl30"/>
    <w:basedOn w:val="Normal"/>
    <w:pPr>
      <w:spacing w:before="100" w:beforeAutospacing="1" w:after="100" w:afterAutospacing="1"/>
      <w:jc w:val="center"/>
    </w:pPr>
    <w:rPr>
      <w:rFonts w:ascii="Arial TUR" w:eastAsia="Arial Unicode MS" w:hAnsi="Arial TUR" w:cs="Arial TUR"/>
      <w:b/>
      <w:bCs/>
    </w:rPr>
  </w:style>
  <w:style w:type="paragraph" w:customStyle="1" w:styleId="xl31">
    <w:name w:val="xl31"/>
    <w:basedOn w:val="Normal"/>
    <w:pPr>
      <w:pBdr>
        <w:bottom w:val="single" w:sz="8" w:space="0" w:color="0000FF"/>
      </w:pBdr>
      <w:spacing w:before="100" w:beforeAutospacing="1" w:after="100" w:afterAutospacing="1"/>
      <w:jc w:val="center"/>
    </w:pPr>
    <w:rPr>
      <w:rFonts w:ascii="Arial TUR" w:eastAsia="Arial Unicode MS" w:hAnsi="Arial TUR" w:cs="Arial TUR"/>
      <w:b/>
      <w:bCs/>
    </w:rPr>
  </w:style>
  <w:style w:type="paragraph" w:customStyle="1" w:styleId="xl32">
    <w:name w:val="xl32"/>
    <w:basedOn w:val="Normal"/>
    <w:pPr>
      <w:spacing w:before="100" w:beforeAutospacing="1" w:after="100" w:afterAutospacing="1"/>
    </w:pPr>
    <w:rPr>
      <w:rFonts w:ascii="Arial TUR" w:eastAsia="Arial Unicode MS" w:hAnsi="Arial TUR" w:cs="Arial TUR"/>
    </w:rPr>
  </w:style>
  <w:style w:type="paragraph" w:customStyle="1" w:styleId="xl33">
    <w:name w:val="xl33"/>
    <w:basedOn w:val="Normal"/>
    <w:pPr>
      <w:pBdr>
        <w:bottom w:val="single" w:sz="8" w:space="0" w:color="FF0000"/>
      </w:pBdr>
      <w:spacing w:before="100" w:beforeAutospacing="1" w:after="100" w:afterAutospacing="1"/>
    </w:pPr>
    <w:rPr>
      <w:rFonts w:ascii="Arial TUR" w:eastAsia="Arial Unicode MS" w:hAnsi="Arial TUR" w:cs="Arial TUR"/>
    </w:rPr>
  </w:style>
  <w:style w:type="paragraph" w:customStyle="1" w:styleId="xl34">
    <w:name w:val="xl34"/>
    <w:basedOn w:val="Normal"/>
    <w:pPr>
      <w:pBdr>
        <w:bottom w:val="dotted" w:sz="4" w:space="0" w:color="0000FF"/>
      </w:pBdr>
      <w:spacing w:before="100" w:beforeAutospacing="1" w:after="100" w:afterAutospacing="1"/>
    </w:pPr>
    <w:rPr>
      <w:rFonts w:ascii="Arial TUR" w:eastAsia="Arial Unicode MS" w:hAnsi="Arial TUR" w:cs="Arial TUR"/>
    </w:rPr>
  </w:style>
  <w:style w:type="paragraph" w:customStyle="1" w:styleId="xl35">
    <w:name w:val="xl35"/>
    <w:basedOn w:val="Normal"/>
    <w:pPr>
      <w:pBdr>
        <w:bottom w:val="single" w:sz="12" w:space="0" w:color="auto"/>
      </w:pBdr>
      <w:shd w:val="pct12" w:color="auto" w:fill="auto"/>
      <w:spacing w:before="100" w:beforeAutospacing="1" w:after="100" w:afterAutospacing="1"/>
    </w:pPr>
    <w:rPr>
      <w:rFonts w:ascii="Arial TUR" w:eastAsia="Arial Unicode MS" w:hAnsi="Arial TUR" w:cs="Arial TUR"/>
    </w:rPr>
  </w:style>
  <w:style w:type="paragraph" w:customStyle="1" w:styleId="xl36">
    <w:name w:val="xl36"/>
    <w:basedOn w:val="Normal"/>
    <w:pPr>
      <w:pBdr>
        <w:bottom w:val="single" w:sz="12" w:space="0" w:color="auto"/>
      </w:pBdr>
      <w:shd w:val="pct12" w:color="auto" w:fill="auto"/>
      <w:spacing w:before="100" w:beforeAutospacing="1" w:after="100" w:afterAutospacing="1"/>
    </w:pPr>
    <w:rPr>
      <w:rFonts w:ascii="Arial TUR" w:eastAsia="Arial Unicode MS" w:hAnsi="Arial TUR" w:cs="Arial TUR"/>
    </w:rPr>
  </w:style>
  <w:style w:type="paragraph" w:customStyle="1" w:styleId="xl37">
    <w:name w:val="xl37"/>
    <w:basedOn w:val="Normal"/>
    <w:pPr>
      <w:spacing w:before="100" w:beforeAutospacing="1" w:after="100" w:afterAutospacing="1"/>
    </w:pPr>
    <w:rPr>
      <w:rFonts w:ascii="Arial TUR" w:eastAsia="Arial Unicode MS" w:hAnsi="Arial TUR" w:cs="Arial TUR"/>
      <w:b/>
      <w:bCs/>
    </w:rPr>
  </w:style>
  <w:style w:type="paragraph" w:customStyle="1" w:styleId="xl38">
    <w:name w:val="xl38"/>
    <w:basedOn w:val="Normal"/>
    <w:pPr>
      <w:spacing w:before="100" w:beforeAutospacing="1" w:after="100" w:afterAutospacing="1"/>
    </w:pPr>
    <w:rPr>
      <w:rFonts w:ascii="Arial TUR" w:eastAsia="Arial Unicode MS" w:hAnsi="Arial TUR" w:cs="Arial TUR"/>
      <w:b/>
      <w:bCs/>
    </w:rPr>
  </w:style>
  <w:style w:type="paragraph" w:customStyle="1" w:styleId="xl39">
    <w:name w:val="xl39"/>
    <w:basedOn w:val="Normal"/>
    <w:pPr>
      <w:pBdr>
        <w:bottom w:val="double" w:sz="6" w:space="0" w:color="FF0000"/>
      </w:pBdr>
      <w:spacing w:before="100" w:beforeAutospacing="1" w:after="100" w:afterAutospacing="1"/>
    </w:pPr>
    <w:rPr>
      <w:rFonts w:ascii="Arial TUR" w:eastAsia="Arial Unicode MS" w:hAnsi="Arial TUR" w:cs="Arial TUR"/>
    </w:rPr>
  </w:style>
  <w:style w:type="paragraph" w:customStyle="1" w:styleId="xl40">
    <w:name w:val="xl40"/>
    <w:basedOn w:val="Normal"/>
    <w:pPr>
      <w:pBdr>
        <w:bottom w:val="dotted" w:sz="4" w:space="0" w:color="0000FF"/>
      </w:pBdr>
      <w:spacing w:before="100" w:beforeAutospacing="1" w:after="100" w:afterAutospacing="1"/>
    </w:pPr>
    <w:rPr>
      <w:rFonts w:ascii="Arial TUR" w:eastAsia="Arial Unicode MS" w:hAnsi="Arial TUR" w:cs="Arial TUR"/>
    </w:rPr>
  </w:style>
  <w:style w:type="paragraph" w:customStyle="1" w:styleId="xl41">
    <w:name w:val="xl41"/>
    <w:basedOn w:val="Normal"/>
    <w:pPr>
      <w:spacing w:before="100" w:beforeAutospacing="1" w:after="100" w:afterAutospacing="1"/>
      <w:jc w:val="center"/>
    </w:pPr>
    <w:rPr>
      <w:rFonts w:ascii="Arial TUR" w:eastAsia="Arial Unicode MS" w:hAnsi="Arial TUR" w:cs="Arial TUR"/>
      <w:b/>
      <w:bCs/>
      <w:u w:val="single"/>
    </w:rPr>
  </w:style>
  <w:style w:type="paragraph" w:customStyle="1" w:styleId="xl42">
    <w:name w:val="xl42"/>
    <w:basedOn w:val="Normal"/>
    <w:pPr>
      <w:pBdr>
        <w:bottom w:val="single" w:sz="8" w:space="0" w:color="0000FF"/>
      </w:pBdr>
      <w:spacing w:before="100" w:beforeAutospacing="1" w:after="100" w:afterAutospacing="1"/>
    </w:pPr>
    <w:rPr>
      <w:rFonts w:ascii="Arial TUR" w:eastAsia="Arial Unicode MS" w:hAnsi="Arial TUR" w:cs="Arial TUR"/>
    </w:rPr>
  </w:style>
  <w:style w:type="paragraph" w:customStyle="1" w:styleId="xl43">
    <w:name w:val="xl43"/>
    <w:basedOn w:val="Normal"/>
    <w:pPr>
      <w:pBdr>
        <w:bottom w:val="single" w:sz="8" w:space="0" w:color="FF0000"/>
      </w:pBdr>
      <w:spacing w:before="100" w:beforeAutospacing="1" w:after="100" w:afterAutospacing="1"/>
    </w:pPr>
    <w:rPr>
      <w:rFonts w:ascii="Arial TUR" w:eastAsia="Arial Unicode MS" w:hAnsi="Arial TUR" w:cs="Arial TUR"/>
    </w:rPr>
  </w:style>
  <w:style w:type="paragraph" w:customStyle="1" w:styleId="xl44">
    <w:name w:val="xl44"/>
    <w:basedOn w:val="Normal"/>
    <w:pPr>
      <w:pBdr>
        <w:bottom w:val="dotted" w:sz="4" w:space="0" w:color="0000FF"/>
      </w:pBdr>
      <w:spacing w:before="100" w:beforeAutospacing="1" w:after="100" w:afterAutospacing="1"/>
    </w:pPr>
    <w:rPr>
      <w:rFonts w:ascii="Arial TUR" w:eastAsia="Arial Unicode MS" w:hAnsi="Arial TUR" w:cs="Arial TUR"/>
    </w:rPr>
  </w:style>
  <w:style w:type="paragraph" w:customStyle="1" w:styleId="xl45">
    <w:name w:val="xl45"/>
    <w:basedOn w:val="Normal"/>
    <w:pPr>
      <w:pBdr>
        <w:bottom w:val="dashed" w:sz="4" w:space="0" w:color="auto"/>
      </w:pBdr>
      <w:spacing w:before="100" w:beforeAutospacing="1" w:after="100" w:afterAutospacing="1"/>
    </w:pPr>
    <w:rPr>
      <w:rFonts w:ascii="Arial TUR" w:eastAsia="Arial Unicode MS" w:hAnsi="Arial TUR" w:cs="Arial TUR"/>
    </w:rPr>
  </w:style>
  <w:style w:type="paragraph" w:customStyle="1" w:styleId="xl46">
    <w:name w:val="xl46"/>
    <w:basedOn w:val="Normal"/>
    <w:pPr>
      <w:spacing w:before="100" w:beforeAutospacing="1" w:after="100" w:afterAutospacing="1"/>
      <w:jc w:val="center"/>
    </w:pPr>
    <w:rPr>
      <w:rFonts w:ascii="Arial TUR" w:eastAsia="Arial Unicode MS" w:hAnsi="Arial TUR" w:cs="Arial TUR"/>
      <w:b/>
      <w:bCs/>
      <w:u w:val="single"/>
    </w:rPr>
  </w:style>
  <w:style w:type="paragraph" w:styleId="BodyText3">
    <w:name w:val="Body Text 3"/>
    <w:basedOn w:val="Normal"/>
    <w:semiHidden/>
    <w:pPr>
      <w:tabs>
        <w:tab w:val="left" w:pos="864"/>
        <w:tab w:val="left" w:pos="1584"/>
        <w:tab w:val="left" w:pos="7056"/>
        <w:tab w:val="left" w:pos="8496"/>
      </w:tabs>
      <w:ind w:right="14"/>
      <w:jc w:val="both"/>
    </w:pPr>
  </w:style>
  <w:style w:type="paragraph" w:customStyle="1" w:styleId="Pages">
    <w:name w:val="Pages"/>
    <w:basedOn w:val="Normal"/>
    <w:rPr>
      <w:rFonts w:ascii="Arial" w:hAnsi="Arial"/>
      <w:sz w:val="28"/>
      <w:szCs w:val="20"/>
    </w:rPr>
  </w:style>
  <w:style w:type="paragraph" w:styleId="BodyTextIndent">
    <w:name w:val="Body Text Indent"/>
    <w:basedOn w:val="Normal"/>
    <w:semiHidden/>
    <w:pPr>
      <w:tabs>
        <w:tab w:val="right" w:pos="5760"/>
        <w:tab w:val="right" w:pos="7200"/>
      </w:tabs>
      <w:ind w:left="360" w:hanging="360"/>
    </w:pPr>
    <w:rPr>
      <w:rFonts w:ascii="Arial" w:hAnsi="Arial"/>
      <w:sz w:val="22"/>
      <w:szCs w:val="20"/>
    </w:rPr>
  </w:style>
  <w:style w:type="paragraph" w:styleId="EndnoteText">
    <w:name w:val="endnote text"/>
    <w:basedOn w:val="Normal"/>
    <w:semiHidden/>
    <w:rPr>
      <w:rFonts w:ascii="AA Normal" w:hAnsi="AA Normal"/>
      <w:sz w:val="20"/>
      <w:szCs w:val="20"/>
    </w:rPr>
  </w:style>
  <w:style w:type="paragraph" w:customStyle="1" w:styleId="ABLOCKPARA10">
    <w:name w:val="A BLOCK PARA 10"/>
    <w:basedOn w:val="ABLOCKPARA"/>
    <w:rPr>
      <w:sz w:val="20"/>
    </w:rPr>
  </w:style>
  <w:style w:type="paragraph" w:customStyle="1" w:styleId="ABLOCKPARA">
    <w:name w:val="A BLOCK PARA"/>
    <w:basedOn w:val="Normal"/>
    <w:rPr>
      <w:rFonts w:ascii="Book Antiqua" w:hAnsi="Book Antiqua"/>
      <w:sz w:val="22"/>
      <w:szCs w:val="20"/>
    </w:rPr>
  </w:style>
  <w:style w:type="paragraph" w:styleId="BodyTextIndent2">
    <w:name w:val="Body Text Indent 2"/>
    <w:basedOn w:val="Normal"/>
    <w:semiHidden/>
    <w:pPr>
      <w:tabs>
        <w:tab w:val="left" w:pos="3456"/>
        <w:tab w:val="left" w:pos="4176"/>
        <w:tab w:val="left" w:pos="4608"/>
      </w:tabs>
      <w:ind w:left="540" w:hanging="540"/>
    </w:pPr>
    <w:rPr>
      <w:rFonts w:ascii="Arial" w:hAnsi="Arial"/>
      <w:sz w:val="22"/>
      <w:szCs w:val="20"/>
    </w:rPr>
  </w:style>
  <w:style w:type="paragraph" w:styleId="BlockText">
    <w:name w:val="Block Text"/>
    <w:basedOn w:val="Normal"/>
    <w:semiHidden/>
    <w:pPr>
      <w:tabs>
        <w:tab w:val="left" w:pos="6912"/>
        <w:tab w:val="right" w:pos="7200"/>
        <w:tab w:val="left" w:pos="8064"/>
        <w:tab w:val="right" w:pos="8640"/>
      </w:tabs>
      <w:ind w:left="360" w:right="-76" w:hanging="360"/>
    </w:pPr>
    <w:rPr>
      <w:rFonts w:ascii="Arial" w:hAnsi="Arial"/>
      <w:sz w:val="22"/>
      <w:szCs w:val="20"/>
    </w:rPr>
  </w:style>
  <w:style w:type="paragraph" w:customStyle="1" w:styleId="xl24">
    <w:name w:val="xl24"/>
    <w:basedOn w:val="Normal"/>
    <w:pPr>
      <w:spacing w:before="100" w:beforeAutospacing="1" w:after="100" w:afterAutospacing="1"/>
    </w:pPr>
    <w:rPr>
      <w:rFonts w:ascii="Arial" w:eastAsia="Arial Unicode MS" w:hAnsi="Arial" w:cs="Arial"/>
      <w:b/>
      <w:bCs/>
      <w:color w:val="FF00FF"/>
      <w:sz w:val="16"/>
      <w:szCs w:val="16"/>
    </w:rPr>
  </w:style>
  <w:style w:type="paragraph" w:customStyle="1" w:styleId="xl25">
    <w:name w:val="xl25"/>
    <w:basedOn w:val="Normal"/>
    <w:pPr>
      <w:spacing w:before="100" w:beforeAutospacing="1" w:after="100" w:afterAutospacing="1"/>
    </w:pPr>
    <w:rPr>
      <w:rFonts w:ascii="Arial" w:eastAsia="Arial Unicode MS" w:hAnsi="Arial" w:cs="Arial"/>
      <w:b/>
      <w:bCs/>
      <w:color w:val="FF6600"/>
      <w:sz w:val="16"/>
      <w:szCs w:val="16"/>
    </w:rPr>
  </w:style>
  <w:style w:type="paragraph" w:customStyle="1" w:styleId="xl47">
    <w:name w:val="xl47"/>
    <w:basedOn w:val="Normal"/>
    <w:pPr>
      <w:pBdr>
        <w:top w:val="single" w:sz="8" w:space="0" w:color="FF00FF"/>
        <w:left w:val="single" w:sz="8" w:space="0" w:color="FF00FF"/>
        <w:bottom w:val="single" w:sz="8" w:space="0" w:color="FF00FF"/>
        <w:right w:val="single" w:sz="8" w:space="0" w:color="FF00FF"/>
      </w:pBdr>
      <w:spacing w:before="100" w:beforeAutospacing="1" w:after="100" w:afterAutospacing="1"/>
      <w:jc w:val="center"/>
      <w:textAlignment w:val="center"/>
    </w:pPr>
    <w:rPr>
      <w:rFonts w:ascii="Arial" w:eastAsia="Arial Unicode MS" w:hAnsi="Arial" w:cs="Arial"/>
      <w:sz w:val="16"/>
      <w:szCs w:val="16"/>
    </w:rPr>
  </w:style>
  <w:style w:type="paragraph" w:customStyle="1" w:styleId="xl48">
    <w:name w:val="xl48"/>
    <w:basedOn w:val="Normal"/>
    <w:pPr>
      <w:spacing w:before="100" w:beforeAutospacing="1" w:after="100" w:afterAutospacing="1"/>
    </w:pPr>
    <w:rPr>
      <w:rFonts w:ascii="Arial" w:eastAsia="Arial Unicode MS" w:hAnsi="Arial" w:cs="Arial"/>
      <w:b/>
      <w:bCs/>
      <w:color w:val="FFCC00"/>
      <w:sz w:val="16"/>
      <w:szCs w:val="16"/>
    </w:rPr>
  </w:style>
  <w:style w:type="paragraph" w:customStyle="1" w:styleId="xl49">
    <w:name w:val="xl49"/>
    <w:basedOn w:val="Normal"/>
    <w:pPr>
      <w:pBdr>
        <w:top w:val="single" w:sz="8" w:space="0" w:color="FF00FF"/>
        <w:left w:val="single" w:sz="8" w:space="0" w:color="FF00FF"/>
        <w:bottom w:val="single" w:sz="8" w:space="0" w:color="FF00FF"/>
        <w:right w:val="single" w:sz="8" w:space="0" w:color="FF00FF"/>
      </w:pBdr>
      <w:spacing w:before="100" w:beforeAutospacing="1" w:after="100" w:afterAutospacing="1"/>
      <w:jc w:val="center"/>
      <w:textAlignment w:val="center"/>
    </w:pPr>
    <w:rPr>
      <w:rFonts w:ascii="Arial" w:eastAsia="Arial Unicode MS" w:hAnsi="Arial" w:cs="Arial"/>
      <w:sz w:val="16"/>
      <w:szCs w:val="16"/>
    </w:rPr>
  </w:style>
  <w:style w:type="paragraph" w:customStyle="1" w:styleId="xl50">
    <w:name w:val="xl50"/>
    <w:basedOn w:val="Normal"/>
    <w:pPr>
      <w:spacing w:before="100" w:beforeAutospacing="1" w:after="100" w:afterAutospacing="1"/>
    </w:pPr>
    <w:rPr>
      <w:rFonts w:ascii="Arial" w:eastAsia="Arial Unicode MS" w:hAnsi="Arial" w:cs="Arial"/>
      <w:b/>
      <w:bCs/>
      <w:color w:val="FFCC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2">
    <w:name w:val="heading 2"/>
    <w:basedOn w:val="Normal"/>
    <w:next w:val="Normal"/>
    <w:qFormat/>
    <w:pPr>
      <w:keepNext/>
      <w:jc w:val="center"/>
      <w:outlineLvl w:val="1"/>
    </w:pPr>
    <w:rPr>
      <w:rFonts w:ascii="Arial" w:hAnsi="Arial"/>
      <w:b/>
      <w:szCs w:val="20"/>
      <w:u w:val="single"/>
    </w:rPr>
  </w:style>
  <w:style w:type="paragraph" w:styleId="Heading4">
    <w:name w:val="heading 4"/>
    <w:basedOn w:val="Normal"/>
    <w:next w:val="Normal"/>
    <w:qFormat/>
    <w:pPr>
      <w:keepNext/>
      <w:jc w:val="center"/>
      <w:outlineLvl w:val="3"/>
    </w:pPr>
    <w:rPr>
      <w:rFonts w:ascii="Arial" w:hAnsi="Arial" w:cs="Arial"/>
      <w:b/>
      <w:sz w:val="28"/>
      <w:szCs w:val="20"/>
    </w:rPr>
  </w:style>
  <w:style w:type="paragraph" w:styleId="Heading7">
    <w:name w:val="heading 7"/>
    <w:basedOn w:val="Normal"/>
    <w:next w:val="Normal"/>
    <w:qFormat/>
    <w:pPr>
      <w:keepNext/>
      <w:ind w:left="252" w:hanging="252"/>
      <w:outlineLvl w:val="6"/>
    </w:pPr>
    <w:rPr>
      <w:rFonts w:ascii="Arial" w:hAnsi="Arial"/>
      <w:sz w:val="22"/>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left" w:pos="864"/>
        <w:tab w:val="left" w:pos="2160"/>
        <w:tab w:val="left" w:pos="8280"/>
      </w:tabs>
      <w:ind w:right="-706"/>
    </w:pPr>
    <w:rPr>
      <w:rFonts w:ascii="Arial" w:hAnsi="Arial"/>
      <w:sz w:val="22"/>
      <w:szCs w:val="20"/>
      <w:lang w:eastAsia="tr-TR"/>
    </w:rPr>
  </w:style>
  <w:style w:type="paragraph" w:styleId="Header">
    <w:name w:val="header"/>
    <w:basedOn w:val="Normal"/>
    <w:semiHidden/>
    <w:pPr>
      <w:tabs>
        <w:tab w:val="center" w:pos="4536"/>
        <w:tab w:val="right" w:pos="9072"/>
      </w:tabs>
    </w:pPr>
    <w:rPr>
      <w:sz w:val="20"/>
      <w:szCs w:val="20"/>
      <w:lang w:eastAsia="tr-TR"/>
    </w:rPr>
  </w:style>
  <w:style w:type="paragraph" w:customStyle="1" w:styleId="ABLOCKPARA12">
    <w:name w:val="A BLOCK PARA 12"/>
    <w:basedOn w:val="Normal"/>
    <w:pPr>
      <w:spacing w:before="240"/>
    </w:pPr>
    <w:rPr>
      <w:rFonts w:ascii="Book Antiqua" w:hAnsi="Book Antiqua"/>
      <w:b/>
      <w:smallCaps/>
      <w:szCs w:val="20"/>
      <w:lang w:eastAsia="tr-TR"/>
    </w:rPr>
  </w:style>
  <w:style w:type="paragraph" w:styleId="BodyText2">
    <w:name w:val="Body Text 2"/>
    <w:basedOn w:val="Normal"/>
    <w:semiHidden/>
    <w:pPr>
      <w:tabs>
        <w:tab w:val="left" w:pos="864"/>
        <w:tab w:val="left" w:pos="2160"/>
        <w:tab w:val="left" w:pos="8280"/>
      </w:tabs>
      <w:ind w:right="-256"/>
      <w:jc w:val="both"/>
    </w:pPr>
    <w:rPr>
      <w:sz w:val="20"/>
    </w:rPr>
  </w:style>
  <w:style w:type="paragraph" w:customStyle="1" w:styleId="xl26">
    <w:name w:val="xl26"/>
    <w:basedOn w:val="Normal"/>
    <w:pPr>
      <w:spacing w:before="100" w:beforeAutospacing="1" w:after="100" w:afterAutospacing="1"/>
    </w:pPr>
    <w:rPr>
      <w:rFonts w:ascii="Arial TUR" w:eastAsia="Arial Unicode MS" w:hAnsi="Arial TUR" w:cs="Arial TUR"/>
      <w:b/>
      <w:bCs/>
      <w:u w:val="single"/>
    </w:rPr>
  </w:style>
  <w:style w:type="paragraph" w:customStyle="1" w:styleId="xl27">
    <w:name w:val="xl27"/>
    <w:basedOn w:val="Normal"/>
    <w:pPr>
      <w:spacing w:before="100" w:beforeAutospacing="1" w:after="100" w:afterAutospacing="1"/>
    </w:pPr>
    <w:rPr>
      <w:rFonts w:ascii="Arial TUR" w:eastAsia="Arial Unicode MS" w:hAnsi="Arial TUR" w:cs="Arial TUR"/>
      <w:u w:val="single"/>
    </w:rPr>
  </w:style>
  <w:style w:type="paragraph" w:customStyle="1" w:styleId="xl28">
    <w:name w:val="xl28"/>
    <w:basedOn w:val="Normal"/>
    <w:pPr>
      <w:spacing w:before="100" w:beforeAutospacing="1" w:after="100" w:afterAutospacing="1"/>
      <w:jc w:val="center"/>
    </w:pPr>
    <w:rPr>
      <w:rFonts w:ascii="Arial TUR" w:eastAsia="Arial Unicode MS" w:hAnsi="Arial TUR" w:cs="Arial TUR"/>
      <w:b/>
      <w:bCs/>
    </w:rPr>
  </w:style>
  <w:style w:type="paragraph" w:customStyle="1" w:styleId="xl29">
    <w:name w:val="xl29"/>
    <w:basedOn w:val="Normal"/>
    <w:pPr>
      <w:spacing w:before="100" w:beforeAutospacing="1" w:after="100" w:afterAutospacing="1"/>
      <w:jc w:val="center"/>
    </w:pPr>
    <w:rPr>
      <w:rFonts w:ascii="Arial TUR" w:eastAsia="Arial Unicode MS" w:hAnsi="Arial TUR" w:cs="Arial TUR"/>
    </w:rPr>
  </w:style>
  <w:style w:type="paragraph" w:customStyle="1" w:styleId="xl30">
    <w:name w:val="xl30"/>
    <w:basedOn w:val="Normal"/>
    <w:pPr>
      <w:spacing w:before="100" w:beforeAutospacing="1" w:after="100" w:afterAutospacing="1"/>
      <w:jc w:val="center"/>
    </w:pPr>
    <w:rPr>
      <w:rFonts w:ascii="Arial TUR" w:eastAsia="Arial Unicode MS" w:hAnsi="Arial TUR" w:cs="Arial TUR"/>
      <w:b/>
      <w:bCs/>
    </w:rPr>
  </w:style>
  <w:style w:type="paragraph" w:customStyle="1" w:styleId="xl31">
    <w:name w:val="xl31"/>
    <w:basedOn w:val="Normal"/>
    <w:pPr>
      <w:pBdr>
        <w:bottom w:val="single" w:sz="8" w:space="0" w:color="0000FF"/>
      </w:pBdr>
      <w:spacing w:before="100" w:beforeAutospacing="1" w:after="100" w:afterAutospacing="1"/>
      <w:jc w:val="center"/>
    </w:pPr>
    <w:rPr>
      <w:rFonts w:ascii="Arial TUR" w:eastAsia="Arial Unicode MS" w:hAnsi="Arial TUR" w:cs="Arial TUR"/>
      <w:b/>
      <w:bCs/>
    </w:rPr>
  </w:style>
  <w:style w:type="paragraph" w:customStyle="1" w:styleId="xl32">
    <w:name w:val="xl32"/>
    <w:basedOn w:val="Normal"/>
    <w:pPr>
      <w:spacing w:before="100" w:beforeAutospacing="1" w:after="100" w:afterAutospacing="1"/>
    </w:pPr>
    <w:rPr>
      <w:rFonts w:ascii="Arial TUR" w:eastAsia="Arial Unicode MS" w:hAnsi="Arial TUR" w:cs="Arial TUR"/>
    </w:rPr>
  </w:style>
  <w:style w:type="paragraph" w:customStyle="1" w:styleId="xl33">
    <w:name w:val="xl33"/>
    <w:basedOn w:val="Normal"/>
    <w:pPr>
      <w:pBdr>
        <w:bottom w:val="single" w:sz="8" w:space="0" w:color="FF0000"/>
      </w:pBdr>
      <w:spacing w:before="100" w:beforeAutospacing="1" w:after="100" w:afterAutospacing="1"/>
    </w:pPr>
    <w:rPr>
      <w:rFonts w:ascii="Arial TUR" w:eastAsia="Arial Unicode MS" w:hAnsi="Arial TUR" w:cs="Arial TUR"/>
    </w:rPr>
  </w:style>
  <w:style w:type="paragraph" w:customStyle="1" w:styleId="xl34">
    <w:name w:val="xl34"/>
    <w:basedOn w:val="Normal"/>
    <w:pPr>
      <w:pBdr>
        <w:bottom w:val="dotted" w:sz="4" w:space="0" w:color="0000FF"/>
      </w:pBdr>
      <w:spacing w:before="100" w:beforeAutospacing="1" w:after="100" w:afterAutospacing="1"/>
    </w:pPr>
    <w:rPr>
      <w:rFonts w:ascii="Arial TUR" w:eastAsia="Arial Unicode MS" w:hAnsi="Arial TUR" w:cs="Arial TUR"/>
    </w:rPr>
  </w:style>
  <w:style w:type="paragraph" w:customStyle="1" w:styleId="xl35">
    <w:name w:val="xl35"/>
    <w:basedOn w:val="Normal"/>
    <w:pPr>
      <w:pBdr>
        <w:bottom w:val="single" w:sz="12" w:space="0" w:color="auto"/>
      </w:pBdr>
      <w:shd w:val="pct12" w:color="auto" w:fill="auto"/>
      <w:spacing w:before="100" w:beforeAutospacing="1" w:after="100" w:afterAutospacing="1"/>
    </w:pPr>
    <w:rPr>
      <w:rFonts w:ascii="Arial TUR" w:eastAsia="Arial Unicode MS" w:hAnsi="Arial TUR" w:cs="Arial TUR"/>
    </w:rPr>
  </w:style>
  <w:style w:type="paragraph" w:customStyle="1" w:styleId="xl36">
    <w:name w:val="xl36"/>
    <w:basedOn w:val="Normal"/>
    <w:pPr>
      <w:pBdr>
        <w:bottom w:val="single" w:sz="12" w:space="0" w:color="auto"/>
      </w:pBdr>
      <w:shd w:val="pct12" w:color="auto" w:fill="auto"/>
      <w:spacing w:before="100" w:beforeAutospacing="1" w:after="100" w:afterAutospacing="1"/>
    </w:pPr>
    <w:rPr>
      <w:rFonts w:ascii="Arial TUR" w:eastAsia="Arial Unicode MS" w:hAnsi="Arial TUR" w:cs="Arial TUR"/>
    </w:rPr>
  </w:style>
  <w:style w:type="paragraph" w:customStyle="1" w:styleId="xl37">
    <w:name w:val="xl37"/>
    <w:basedOn w:val="Normal"/>
    <w:pPr>
      <w:spacing w:before="100" w:beforeAutospacing="1" w:after="100" w:afterAutospacing="1"/>
    </w:pPr>
    <w:rPr>
      <w:rFonts w:ascii="Arial TUR" w:eastAsia="Arial Unicode MS" w:hAnsi="Arial TUR" w:cs="Arial TUR"/>
      <w:b/>
      <w:bCs/>
    </w:rPr>
  </w:style>
  <w:style w:type="paragraph" w:customStyle="1" w:styleId="xl38">
    <w:name w:val="xl38"/>
    <w:basedOn w:val="Normal"/>
    <w:pPr>
      <w:spacing w:before="100" w:beforeAutospacing="1" w:after="100" w:afterAutospacing="1"/>
    </w:pPr>
    <w:rPr>
      <w:rFonts w:ascii="Arial TUR" w:eastAsia="Arial Unicode MS" w:hAnsi="Arial TUR" w:cs="Arial TUR"/>
      <w:b/>
      <w:bCs/>
    </w:rPr>
  </w:style>
  <w:style w:type="paragraph" w:customStyle="1" w:styleId="xl39">
    <w:name w:val="xl39"/>
    <w:basedOn w:val="Normal"/>
    <w:pPr>
      <w:pBdr>
        <w:bottom w:val="double" w:sz="6" w:space="0" w:color="FF0000"/>
      </w:pBdr>
      <w:spacing w:before="100" w:beforeAutospacing="1" w:after="100" w:afterAutospacing="1"/>
    </w:pPr>
    <w:rPr>
      <w:rFonts w:ascii="Arial TUR" w:eastAsia="Arial Unicode MS" w:hAnsi="Arial TUR" w:cs="Arial TUR"/>
    </w:rPr>
  </w:style>
  <w:style w:type="paragraph" w:customStyle="1" w:styleId="xl40">
    <w:name w:val="xl40"/>
    <w:basedOn w:val="Normal"/>
    <w:pPr>
      <w:pBdr>
        <w:bottom w:val="dotted" w:sz="4" w:space="0" w:color="0000FF"/>
      </w:pBdr>
      <w:spacing w:before="100" w:beforeAutospacing="1" w:after="100" w:afterAutospacing="1"/>
    </w:pPr>
    <w:rPr>
      <w:rFonts w:ascii="Arial TUR" w:eastAsia="Arial Unicode MS" w:hAnsi="Arial TUR" w:cs="Arial TUR"/>
    </w:rPr>
  </w:style>
  <w:style w:type="paragraph" w:customStyle="1" w:styleId="xl41">
    <w:name w:val="xl41"/>
    <w:basedOn w:val="Normal"/>
    <w:pPr>
      <w:spacing w:before="100" w:beforeAutospacing="1" w:after="100" w:afterAutospacing="1"/>
      <w:jc w:val="center"/>
    </w:pPr>
    <w:rPr>
      <w:rFonts w:ascii="Arial TUR" w:eastAsia="Arial Unicode MS" w:hAnsi="Arial TUR" w:cs="Arial TUR"/>
      <w:b/>
      <w:bCs/>
      <w:u w:val="single"/>
    </w:rPr>
  </w:style>
  <w:style w:type="paragraph" w:customStyle="1" w:styleId="xl42">
    <w:name w:val="xl42"/>
    <w:basedOn w:val="Normal"/>
    <w:pPr>
      <w:pBdr>
        <w:bottom w:val="single" w:sz="8" w:space="0" w:color="0000FF"/>
      </w:pBdr>
      <w:spacing w:before="100" w:beforeAutospacing="1" w:after="100" w:afterAutospacing="1"/>
    </w:pPr>
    <w:rPr>
      <w:rFonts w:ascii="Arial TUR" w:eastAsia="Arial Unicode MS" w:hAnsi="Arial TUR" w:cs="Arial TUR"/>
    </w:rPr>
  </w:style>
  <w:style w:type="paragraph" w:customStyle="1" w:styleId="xl43">
    <w:name w:val="xl43"/>
    <w:basedOn w:val="Normal"/>
    <w:pPr>
      <w:pBdr>
        <w:bottom w:val="single" w:sz="8" w:space="0" w:color="FF0000"/>
      </w:pBdr>
      <w:spacing w:before="100" w:beforeAutospacing="1" w:after="100" w:afterAutospacing="1"/>
    </w:pPr>
    <w:rPr>
      <w:rFonts w:ascii="Arial TUR" w:eastAsia="Arial Unicode MS" w:hAnsi="Arial TUR" w:cs="Arial TUR"/>
    </w:rPr>
  </w:style>
  <w:style w:type="paragraph" w:customStyle="1" w:styleId="xl44">
    <w:name w:val="xl44"/>
    <w:basedOn w:val="Normal"/>
    <w:pPr>
      <w:pBdr>
        <w:bottom w:val="dotted" w:sz="4" w:space="0" w:color="0000FF"/>
      </w:pBdr>
      <w:spacing w:before="100" w:beforeAutospacing="1" w:after="100" w:afterAutospacing="1"/>
    </w:pPr>
    <w:rPr>
      <w:rFonts w:ascii="Arial TUR" w:eastAsia="Arial Unicode MS" w:hAnsi="Arial TUR" w:cs="Arial TUR"/>
    </w:rPr>
  </w:style>
  <w:style w:type="paragraph" w:customStyle="1" w:styleId="xl45">
    <w:name w:val="xl45"/>
    <w:basedOn w:val="Normal"/>
    <w:pPr>
      <w:pBdr>
        <w:bottom w:val="dashed" w:sz="4" w:space="0" w:color="auto"/>
      </w:pBdr>
      <w:spacing w:before="100" w:beforeAutospacing="1" w:after="100" w:afterAutospacing="1"/>
    </w:pPr>
    <w:rPr>
      <w:rFonts w:ascii="Arial TUR" w:eastAsia="Arial Unicode MS" w:hAnsi="Arial TUR" w:cs="Arial TUR"/>
    </w:rPr>
  </w:style>
  <w:style w:type="paragraph" w:customStyle="1" w:styleId="xl46">
    <w:name w:val="xl46"/>
    <w:basedOn w:val="Normal"/>
    <w:pPr>
      <w:spacing w:before="100" w:beforeAutospacing="1" w:after="100" w:afterAutospacing="1"/>
      <w:jc w:val="center"/>
    </w:pPr>
    <w:rPr>
      <w:rFonts w:ascii="Arial TUR" w:eastAsia="Arial Unicode MS" w:hAnsi="Arial TUR" w:cs="Arial TUR"/>
      <w:b/>
      <w:bCs/>
      <w:u w:val="single"/>
    </w:rPr>
  </w:style>
  <w:style w:type="paragraph" w:styleId="BodyText3">
    <w:name w:val="Body Text 3"/>
    <w:basedOn w:val="Normal"/>
    <w:semiHidden/>
    <w:pPr>
      <w:tabs>
        <w:tab w:val="left" w:pos="864"/>
        <w:tab w:val="left" w:pos="1584"/>
        <w:tab w:val="left" w:pos="7056"/>
        <w:tab w:val="left" w:pos="8496"/>
      </w:tabs>
      <w:ind w:right="14"/>
      <w:jc w:val="both"/>
    </w:pPr>
  </w:style>
  <w:style w:type="paragraph" w:customStyle="1" w:styleId="Pages">
    <w:name w:val="Pages"/>
    <w:basedOn w:val="Normal"/>
    <w:rPr>
      <w:rFonts w:ascii="Arial" w:hAnsi="Arial"/>
      <w:sz w:val="28"/>
      <w:szCs w:val="20"/>
    </w:rPr>
  </w:style>
  <w:style w:type="paragraph" w:styleId="BodyTextIndent">
    <w:name w:val="Body Text Indent"/>
    <w:basedOn w:val="Normal"/>
    <w:semiHidden/>
    <w:pPr>
      <w:tabs>
        <w:tab w:val="right" w:pos="5760"/>
        <w:tab w:val="right" w:pos="7200"/>
      </w:tabs>
      <w:ind w:left="360" w:hanging="360"/>
    </w:pPr>
    <w:rPr>
      <w:rFonts w:ascii="Arial" w:hAnsi="Arial"/>
      <w:sz w:val="22"/>
      <w:szCs w:val="20"/>
    </w:rPr>
  </w:style>
  <w:style w:type="paragraph" w:styleId="EndnoteText">
    <w:name w:val="endnote text"/>
    <w:basedOn w:val="Normal"/>
    <w:semiHidden/>
    <w:rPr>
      <w:rFonts w:ascii="AA Normal" w:hAnsi="AA Normal"/>
      <w:sz w:val="20"/>
      <w:szCs w:val="20"/>
    </w:rPr>
  </w:style>
  <w:style w:type="paragraph" w:customStyle="1" w:styleId="ABLOCKPARA10">
    <w:name w:val="A BLOCK PARA 10"/>
    <w:basedOn w:val="ABLOCKPARA"/>
    <w:rPr>
      <w:sz w:val="20"/>
    </w:rPr>
  </w:style>
  <w:style w:type="paragraph" w:customStyle="1" w:styleId="ABLOCKPARA">
    <w:name w:val="A BLOCK PARA"/>
    <w:basedOn w:val="Normal"/>
    <w:rPr>
      <w:rFonts w:ascii="Book Antiqua" w:hAnsi="Book Antiqua"/>
      <w:sz w:val="22"/>
      <w:szCs w:val="20"/>
    </w:rPr>
  </w:style>
  <w:style w:type="paragraph" w:styleId="BodyTextIndent2">
    <w:name w:val="Body Text Indent 2"/>
    <w:basedOn w:val="Normal"/>
    <w:semiHidden/>
    <w:pPr>
      <w:tabs>
        <w:tab w:val="left" w:pos="3456"/>
        <w:tab w:val="left" w:pos="4176"/>
        <w:tab w:val="left" w:pos="4608"/>
      </w:tabs>
      <w:ind w:left="540" w:hanging="540"/>
    </w:pPr>
    <w:rPr>
      <w:rFonts w:ascii="Arial" w:hAnsi="Arial"/>
      <w:sz w:val="22"/>
      <w:szCs w:val="20"/>
    </w:rPr>
  </w:style>
  <w:style w:type="paragraph" w:styleId="BlockText">
    <w:name w:val="Block Text"/>
    <w:basedOn w:val="Normal"/>
    <w:semiHidden/>
    <w:pPr>
      <w:tabs>
        <w:tab w:val="left" w:pos="6912"/>
        <w:tab w:val="right" w:pos="7200"/>
        <w:tab w:val="left" w:pos="8064"/>
        <w:tab w:val="right" w:pos="8640"/>
      </w:tabs>
      <w:ind w:left="360" w:right="-76" w:hanging="360"/>
    </w:pPr>
    <w:rPr>
      <w:rFonts w:ascii="Arial" w:hAnsi="Arial"/>
      <w:sz w:val="22"/>
      <w:szCs w:val="20"/>
    </w:rPr>
  </w:style>
  <w:style w:type="paragraph" w:customStyle="1" w:styleId="xl24">
    <w:name w:val="xl24"/>
    <w:basedOn w:val="Normal"/>
    <w:pPr>
      <w:spacing w:before="100" w:beforeAutospacing="1" w:after="100" w:afterAutospacing="1"/>
    </w:pPr>
    <w:rPr>
      <w:rFonts w:ascii="Arial" w:eastAsia="Arial Unicode MS" w:hAnsi="Arial" w:cs="Arial"/>
      <w:b/>
      <w:bCs/>
      <w:color w:val="FF00FF"/>
      <w:sz w:val="16"/>
      <w:szCs w:val="16"/>
    </w:rPr>
  </w:style>
  <w:style w:type="paragraph" w:customStyle="1" w:styleId="xl25">
    <w:name w:val="xl25"/>
    <w:basedOn w:val="Normal"/>
    <w:pPr>
      <w:spacing w:before="100" w:beforeAutospacing="1" w:after="100" w:afterAutospacing="1"/>
    </w:pPr>
    <w:rPr>
      <w:rFonts w:ascii="Arial" w:eastAsia="Arial Unicode MS" w:hAnsi="Arial" w:cs="Arial"/>
      <w:b/>
      <w:bCs/>
      <w:color w:val="FF6600"/>
      <w:sz w:val="16"/>
      <w:szCs w:val="16"/>
    </w:rPr>
  </w:style>
  <w:style w:type="paragraph" w:customStyle="1" w:styleId="xl47">
    <w:name w:val="xl47"/>
    <w:basedOn w:val="Normal"/>
    <w:pPr>
      <w:pBdr>
        <w:top w:val="single" w:sz="8" w:space="0" w:color="FF00FF"/>
        <w:left w:val="single" w:sz="8" w:space="0" w:color="FF00FF"/>
        <w:bottom w:val="single" w:sz="8" w:space="0" w:color="FF00FF"/>
        <w:right w:val="single" w:sz="8" w:space="0" w:color="FF00FF"/>
      </w:pBdr>
      <w:spacing w:before="100" w:beforeAutospacing="1" w:after="100" w:afterAutospacing="1"/>
      <w:jc w:val="center"/>
      <w:textAlignment w:val="center"/>
    </w:pPr>
    <w:rPr>
      <w:rFonts w:ascii="Arial" w:eastAsia="Arial Unicode MS" w:hAnsi="Arial" w:cs="Arial"/>
      <w:sz w:val="16"/>
      <w:szCs w:val="16"/>
    </w:rPr>
  </w:style>
  <w:style w:type="paragraph" w:customStyle="1" w:styleId="xl48">
    <w:name w:val="xl48"/>
    <w:basedOn w:val="Normal"/>
    <w:pPr>
      <w:spacing w:before="100" w:beforeAutospacing="1" w:after="100" w:afterAutospacing="1"/>
    </w:pPr>
    <w:rPr>
      <w:rFonts w:ascii="Arial" w:eastAsia="Arial Unicode MS" w:hAnsi="Arial" w:cs="Arial"/>
      <w:b/>
      <w:bCs/>
      <w:color w:val="FFCC00"/>
      <w:sz w:val="16"/>
      <w:szCs w:val="16"/>
    </w:rPr>
  </w:style>
  <w:style w:type="paragraph" w:customStyle="1" w:styleId="xl49">
    <w:name w:val="xl49"/>
    <w:basedOn w:val="Normal"/>
    <w:pPr>
      <w:pBdr>
        <w:top w:val="single" w:sz="8" w:space="0" w:color="FF00FF"/>
        <w:left w:val="single" w:sz="8" w:space="0" w:color="FF00FF"/>
        <w:bottom w:val="single" w:sz="8" w:space="0" w:color="FF00FF"/>
        <w:right w:val="single" w:sz="8" w:space="0" w:color="FF00FF"/>
      </w:pBdr>
      <w:spacing w:before="100" w:beforeAutospacing="1" w:after="100" w:afterAutospacing="1"/>
      <w:jc w:val="center"/>
      <w:textAlignment w:val="center"/>
    </w:pPr>
    <w:rPr>
      <w:rFonts w:ascii="Arial" w:eastAsia="Arial Unicode MS" w:hAnsi="Arial" w:cs="Arial"/>
      <w:sz w:val="16"/>
      <w:szCs w:val="16"/>
    </w:rPr>
  </w:style>
  <w:style w:type="paragraph" w:customStyle="1" w:styleId="xl50">
    <w:name w:val="xl50"/>
    <w:basedOn w:val="Normal"/>
    <w:pPr>
      <w:spacing w:before="100" w:beforeAutospacing="1" w:after="100" w:afterAutospacing="1"/>
    </w:pPr>
    <w:rPr>
      <w:rFonts w:ascii="Arial" w:eastAsia="Arial Unicode MS" w:hAnsi="Arial" w:cs="Arial"/>
      <w:b/>
      <w:bCs/>
      <w:color w:val="FFCC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Microsoft_Excel_97-2003_Worksheet1.xls"/><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6604</Words>
  <Characters>37647</Characters>
  <Application>Microsoft Office Word</Application>
  <DocSecurity>4</DocSecurity>
  <Lines>313</Lines>
  <Paragraphs>88</Paragraphs>
  <ScaleCrop>false</ScaleCrop>
  <Company>BNP Paribas</Company>
  <LinksUpToDate>false</LinksUpToDate>
  <CharactersWithSpaces>44163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2016-11-28T07:02:00Z</dcterms:created>
  <dcterms:modified xsi:type="dcterms:W3CDTF">2016-11-28T07:02:00Z</dcterms:modified>
</cp:coreProperties>
</file>