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6F0" w:rsidRDefault="00D076F0">
      <w:pPr>
        <w:tabs>
          <w:tab w:val="left" w:pos="1584"/>
          <w:tab w:val="left" w:pos="5040"/>
          <w:tab w:val="left" w:pos="6192"/>
          <w:tab w:val="left" w:pos="8496"/>
        </w:tabs>
        <w:rPr>
          <w:sz w:val="24"/>
        </w:rPr>
      </w:pPr>
      <w:bookmarkStart w:id="0" w:name="_GoBack"/>
      <w:bookmarkEnd w:id="0"/>
    </w:p>
    <w:p w:rsidR="00D076F0" w:rsidRDefault="00D076F0">
      <w:pPr>
        <w:tabs>
          <w:tab w:val="left" w:pos="1584"/>
          <w:tab w:val="left" w:pos="5040"/>
          <w:tab w:val="left" w:pos="6192"/>
          <w:tab w:val="left" w:pos="8496"/>
        </w:tabs>
        <w:rPr>
          <w:sz w:val="24"/>
        </w:rPr>
      </w:pPr>
    </w:p>
    <w:p w:rsidR="00D076F0" w:rsidRDefault="00D076F0">
      <w:pPr>
        <w:tabs>
          <w:tab w:val="left" w:pos="1584"/>
          <w:tab w:val="left" w:pos="5040"/>
          <w:tab w:val="left" w:pos="6192"/>
          <w:tab w:val="left" w:pos="8496"/>
        </w:tabs>
        <w:rPr>
          <w:sz w:val="24"/>
        </w:rPr>
      </w:pPr>
    </w:p>
    <w:p w:rsidR="00D076F0" w:rsidRDefault="00D076F0">
      <w:pPr>
        <w:tabs>
          <w:tab w:val="left" w:pos="1584"/>
          <w:tab w:val="left" w:pos="5040"/>
          <w:tab w:val="left" w:pos="6192"/>
          <w:tab w:val="left" w:pos="8496"/>
        </w:tabs>
        <w:rPr>
          <w:sz w:val="24"/>
        </w:rPr>
      </w:pPr>
    </w:p>
    <w:p w:rsidR="00D076F0" w:rsidRDefault="00D076F0">
      <w:pPr>
        <w:tabs>
          <w:tab w:val="left" w:pos="1584"/>
          <w:tab w:val="left" w:pos="5040"/>
          <w:tab w:val="left" w:pos="6192"/>
          <w:tab w:val="left" w:pos="8496"/>
        </w:tabs>
        <w:rPr>
          <w:sz w:val="24"/>
        </w:rPr>
      </w:pPr>
    </w:p>
    <w:p w:rsidR="00D076F0" w:rsidRDefault="00D076F0">
      <w:pPr>
        <w:tabs>
          <w:tab w:val="left" w:pos="1584"/>
          <w:tab w:val="left" w:pos="5040"/>
          <w:tab w:val="left" w:pos="6192"/>
          <w:tab w:val="left" w:pos="8496"/>
        </w:tabs>
        <w:rPr>
          <w:sz w:val="24"/>
        </w:rPr>
      </w:pPr>
    </w:p>
    <w:p w:rsidR="00D076F0" w:rsidRDefault="00D076F0">
      <w:pPr>
        <w:tabs>
          <w:tab w:val="left" w:pos="1584"/>
          <w:tab w:val="left" w:pos="5040"/>
          <w:tab w:val="left" w:pos="6192"/>
          <w:tab w:val="left" w:pos="8496"/>
        </w:tabs>
        <w:rPr>
          <w:sz w:val="24"/>
        </w:rPr>
      </w:pPr>
    </w:p>
    <w:p w:rsidR="00D076F0" w:rsidRDefault="002749EF">
      <w:pPr>
        <w:tabs>
          <w:tab w:val="left" w:pos="1584"/>
          <w:tab w:val="left" w:pos="5040"/>
          <w:tab w:val="left" w:pos="6192"/>
          <w:tab w:val="left" w:pos="8496"/>
        </w:tabs>
        <w:jc w:val="center"/>
        <w:rPr>
          <w:b/>
        </w:rPr>
      </w:pPr>
      <w:r>
        <w:rPr>
          <w:b/>
        </w:rPr>
        <w:t>TÜRK EKONOMI BANKASI ANONIM SIRKETI</w:t>
      </w:r>
    </w:p>
    <w:p w:rsidR="00D076F0" w:rsidRDefault="002749EF">
      <w:pPr>
        <w:tabs>
          <w:tab w:val="left" w:pos="1584"/>
          <w:tab w:val="left" w:pos="5040"/>
          <w:tab w:val="left" w:pos="6192"/>
          <w:tab w:val="left" w:pos="8496"/>
        </w:tabs>
        <w:jc w:val="center"/>
        <w:rPr>
          <w:b/>
        </w:rPr>
      </w:pPr>
      <w:r>
        <w:rPr>
          <w:b/>
        </w:rPr>
        <w:t>====================================</w:t>
      </w:r>
    </w:p>
    <w:p w:rsidR="00D076F0" w:rsidRDefault="00D076F0">
      <w:pPr>
        <w:tabs>
          <w:tab w:val="left" w:pos="1584"/>
          <w:tab w:val="left" w:pos="5040"/>
          <w:tab w:val="left" w:pos="6192"/>
          <w:tab w:val="left" w:pos="8496"/>
        </w:tabs>
        <w:rPr>
          <w:b/>
        </w:rPr>
      </w:pPr>
    </w:p>
    <w:p w:rsidR="00D076F0" w:rsidRDefault="002749EF">
      <w:pPr>
        <w:tabs>
          <w:tab w:val="left" w:pos="1584"/>
          <w:tab w:val="left" w:pos="5040"/>
          <w:tab w:val="left" w:pos="6192"/>
          <w:tab w:val="left" w:pos="8496"/>
        </w:tabs>
        <w:jc w:val="center"/>
        <w:rPr>
          <w:b/>
          <w:u w:val="single"/>
        </w:rPr>
      </w:pPr>
      <w:r>
        <w:rPr>
          <w:b/>
          <w:u w:val="single"/>
        </w:rPr>
        <w:t>CONSOLIDATED FINANCIAL STATEMENTS AS OF</w:t>
      </w:r>
    </w:p>
    <w:p w:rsidR="00D076F0" w:rsidRDefault="00D076F0">
      <w:pPr>
        <w:tabs>
          <w:tab w:val="left" w:pos="1584"/>
          <w:tab w:val="left" w:pos="5040"/>
          <w:tab w:val="left" w:pos="6192"/>
          <w:tab w:val="left" w:pos="8496"/>
        </w:tabs>
        <w:jc w:val="center"/>
        <w:rPr>
          <w:b/>
          <w:u w:val="single"/>
        </w:rPr>
      </w:pPr>
    </w:p>
    <w:p w:rsidR="00D076F0" w:rsidRDefault="002749EF">
      <w:pPr>
        <w:tabs>
          <w:tab w:val="left" w:pos="1584"/>
          <w:tab w:val="left" w:pos="5040"/>
          <w:tab w:val="left" w:pos="6192"/>
          <w:tab w:val="left" w:pos="8496"/>
        </w:tabs>
        <w:jc w:val="center"/>
        <w:rPr>
          <w:b/>
          <w:u w:val="single"/>
        </w:rPr>
      </w:pPr>
      <w:r>
        <w:rPr>
          <w:b/>
          <w:u w:val="single"/>
        </w:rPr>
        <w:t>JUNE  30, 2002</w:t>
      </w:r>
    </w:p>
    <w:p w:rsidR="00D076F0" w:rsidRDefault="00D076F0">
      <w:pPr>
        <w:pStyle w:val="ABLOCKPARA12"/>
        <w:tabs>
          <w:tab w:val="left" w:pos="1584"/>
          <w:tab w:val="left" w:pos="5040"/>
          <w:tab w:val="left" w:pos="6192"/>
          <w:tab w:val="left" w:pos="8496"/>
        </w:tabs>
        <w:spacing w:before="0"/>
        <w:rPr>
          <w:rFonts w:ascii="Arial" w:hAnsi="Arial"/>
          <w:smallCaps w:val="0"/>
          <w:sz w:val="22"/>
        </w:rPr>
      </w:pPr>
    </w:p>
    <w:p w:rsidR="00D076F0" w:rsidRDefault="002749EF">
      <w:pPr>
        <w:tabs>
          <w:tab w:val="left" w:pos="1584"/>
          <w:tab w:val="left" w:pos="5040"/>
          <w:tab w:val="left" w:pos="6192"/>
          <w:tab w:val="left" w:pos="8496"/>
        </w:tabs>
        <w:jc w:val="center"/>
        <w:rPr>
          <w:b/>
          <w:u w:val="single"/>
        </w:rPr>
      </w:pPr>
      <w:r>
        <w:rPr>
          <w:b/>
          <w:u w:val="single"/>
        </w:rPr>
        <w:t>TOGETHER WITH AUDIT REPORT</w:t>
      </w:r>
    </w:p>
    <w:p w:rsidR="00D076F0" w:rsidRDefault="00D076F0">
      <w:pPr>
        <w:tabs>
          <w:tab w:val="left" w:pos="1584"/>
          <w:tab w:val="left" w:pos="5040"/>
          <w:tab w:val="left" w:pos="6192"/>
          <w:tab w:val="left" w:pos="8496"/>
        </w:tabs>
        <w:jc w:val="center"/>
        <w:rPr>
          <w:b/>
          <w:sz w:val="24"/>
          <w:u w:val="single"/>
        </w:rPr>
      </w:pPr>
    </w:p>
    <w:p w:rsidR="00D076F0" w:rsidRDefault="002749EF">
      <w:pPr>
        <w:tabs>
          <w:tab w:val="left" w:pos="1584"/>
          <w:tab w:val="left" w:pos="5040"/>
          <w:tab w:val="left" w:pos="6192"/>
          <w:tab w:val="left" w:pos="8496"/>
        </w:tabs>
        <w:jc w:val="center"/>
      </w:pPr>
      <w:r>
        <w:t xml:space="preserve">(CONVENIENCE TRANSLATION OF A REPORT AND FINANCIAL STATEMENTS </w:t>
      </w:r>
    </w:p>
    <w:p w:rsidR="00D076F0" w:rsidRDefault="002749EF">
      <w:pPr>
        <w:tabs>
          <w:tab w:val="left" w:pos="1584"/>
          <w:tab w:val="left" w:pos="5040"/>
          <w:tab w:val="left" w:pos="6192"/>
          <w:tab w:val="left" w:pos="8496"/>
        </w:tabs>
        <w:jc w:val="center"/>
      </w:pPr>
      <w:r>
        <w:t xml:space="preserve">ORIGINALLY ISSUED IN </w:t>
      </w:r>
      <w:r>
        <w:t>TURKISH- SEE NOTE 9)</w:t>
      </w:r>
    </w:p>
    <w:p w:rsidR="00D076F0" w:rsidRDefault="00D076F0">
      <w:pPr>
        <w:tabs>
          <w:tab w:val="left" w:pos="1584"/>
          <w:tab w:val="left" w:pos="5040"/>
          <w:tab w:val="left" w:pos="6192"/>
          <w:tab w:val="left" w:pos="8496"/>
        </w:tabs>
        <w:jc w:val="center"/>
        <w:rPr>
          <w:b/>
          <w:sz w:val="24"/>
          <w:u w:val="single"/>
        </w:rPr>
      </w:pPr>
    </w:p>
    <w:p w:rsidR="00D076F0" w:rsidRDefault="002749EF">
      <w:pPr>
        <w:jc w:val="center"/>
        <w:rPr>
          <w:b/>
          <w:smallCaps/>
        </w:rPr>
      </w:pPr>
      <w:r>
        <w:rPr>
          <w:b/>
          <w:sz w:val="24"/>
        </w:rPr>
        <w:br w:type="page"/>
        <w:t xml:space="preserve">                                                           </w:t>
      </w:r>
      <w:r>
        <w:rPr>
          <w:b/>
          <w:smallCaps/>
          <w:noProof/>
          <w:lang w:val="tr-TR" w:eastAsia="tr-TR"/>
        </w:rPr>
        <w:drawing>
          <wp:inline distT="0" distB="0" distL="0" distR="0">
            <wp:extent cx="2409825" cy="657225"/>
            <wp:effectExtent l="0" t="0" r="9525" b="9525"/>
            <wp:docPr id="1" name="Picture 1" descr="C:\DATA\Arthur Andersen\Admin\office admin\AA taniti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ATA\Arthur Andersen\Admin\office admin\AA tanitim\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9825" cy="657225"/>
                    </a:xfrm>
                    <a:prstGeom prst="rect">
                      <a:avLst/>
                    </a:prstGeom>
                    <a:noFill/>
                    <a:ln>
                      <a:noFill/>
                    </a:ln>
                  </pic:spPr>
                </pic:pic>
              </a:graphicData>
            </a:graphic>
          </wp:inline>
        </w:drawing>
      </w:r>
      <w:r>
        <w:rPr>
          <w:b/>
          <w:sz w:val="24"/>
        </w:rPr>
        <w:t xml:space="preserve">  </w:t>
      </w:r>
    </w:p>
    <w:p w:rsidR="00D076F0" w:rsidRDefault="002749EF">
      <w:pPr>
        <w:tabs>
          <w:tab w:val="left" w:pos="5490"/>
        </w:tabs>
        <w:jc w:val="center"/>
        <w:rPr>
          <w:b/>
          <w:sz w:val="18"/>
        </w:rPr>
      </w:pPr>
      <w:r>
        <w:rPr>
          <w:b/>
          <w:sz w:val="18"/>
        </w:rPr>
        <w:t xml:space="preserve">                                                                        </w:t>
      </w:r>
      <w:r>
        <w:rPr>
          <w:b/>
          <w:sz w:val="18"/>
        </w:rPr>
        <w:tab/>
      </w:r>
      <w:r>
        <w:rPr>
          <w:b/>
          <w:sz w:val="18"/>
        </w:rPr>
        <w:tab/>
        <w:t>A. A. Aktif Analiz S.M.M.M. A.Ş.</w:t>
      </w:r>
    </w:p>
    <w:p w:rsidR="00D076F0" w:rsidRDefault="00D076F0">
      <w:pPr>
        <w:jc w:val="center"/>
        <w:rPr>
          <w:b/>
          <w:sz w:val="18"/>
        </w:rPr>
      </w:pPr>
    </w:p>
    <w:p w:rsidR="00D076F0" w:rsidRDefault="002749EF">
      <w:pPr>
        <w:tabs>
          <w:tab w:val="left" w:pos="1584"/>
          <w:tab w:val="left" w:pos="5040"/>
          <w:tab w:val="left" w:pos="6192"/>
          <w:tab w:val="left" w:pos="8496"/>
        </w:tabs>
        <w:jc w:val="center"/>
      </w:pPr>
      <w:r>
        <w:t xml:space="preserve">(CONVENIENCE TRANSLATION OF A REPORT AND FINANCIAL STATEMENTS </w:t>
      </w:r>
    </w:p>
    <w:p w:rsidR="00D076F0" w:rsidRDefault="002749EF">
      <w:pPr>
        <w:tabs>
          <w:tab w:val="left" w:pos="1584"/>
          <w:tab w:val="left" w:pos="5040"/>
          <w:tab w:val="left" w:pos="6192"/>
          <w:tab w:val="left" w:pos="8496"/>
        </w:tabs>
        <w:jc w:val="center"/>
      </w:pPr>
      <w:r>
        <w:t>ORIGINALLY ISSUED IN TURKISH- NOTE 9)</w:t>
      </w:r>
    </w:p>
    <w:p w:rsidR="00D076F0" w:rsidRDefault="002749EF">
      <w:pPr>
        <w:tabs>
          <w:tab w:val="left" w:pos="1584"/>
          <w:tab w:val="left" w:pos="5040"/>
          <w:tab w:val="left" w:pos="6192"/>
          <w:tab w:val="left" w:pos="8496"/>
        </w:tabs>
        <w:jc w:val="right"/>
        <w:rPr>
          <w:b/>
          <w:smallCaps/>
        </w:rPr>
      </w:pPr>
      <w:r>
        <w:rPr>
          <w:b/>
          <w:smallCaps/>
        </w:rPr>
        <w:t xml:space="preserve">                                                                                    </w:t>
      </w:r>
    </w:p>
    <w:p w:rsidR="00D076F0" w:rsidRDefault="00D076F0">
      <w:pPr>
        <w:tabs>
          <w:tab w:val="left" w:pos="1584"/>
          <w:tab w:val="left" w:pos="5040"/>
          <w:tab w:val="left" w:pos="6192"/>
          <w:tab w:val="left" w:pos="8496"/>
        </w:tabs>
        <w:jc w:val="right"/>
      </w:pPr>
    </w:p>
    <w:p w:rsidR="00D076F0" w:rsidRDefault="00D076F0">
      <w:pPr>
        <w:ind w:right="-476"/>
      </w:pPr>
    </w:p>
    <w:p w:rsidR="00D076F0" w:rsidRDefault="002749EF">
      <w:pPr>
        <w:tabs>
          <w:tab w:val="left" w:pos="1584"/>
        </w:tabs>
        <w:ind w:right="14"/>
        <w:jc w:val="center"/>
        <w:rPr>
          <w:b/>
          <w:u w:val="single"/>
        </w:rPr>
      </w:pPr>
      <w:r>
        <w:rPr>
          <w:b/>
          <w:u w:val="single"/>
        </w:rPr>
        <w:t xml:space="preserve">TÜRK EKONOMI BANKASI ANONIM SIRKETI AND FINANCIAL SUBSIDIARIES </w:t>
      </w:r>
    </w:p>
    <w:p w:rsidR="00D076F0" w:rsidRDefault="00D076F0">
      <w:pPr>
        <w:tabs>
          <w:tab w:val="left" w:pos="1584"/>
        </w:tabs>
        <w:ind w:right="14"/>
        <w:jc w:val="center"/>
        <w:rPr>
          <w:b/>
          <w:u w:val="single"/>
        </w:rPr>
      </w:pPr>
    </w:p>
    <w:p w:rsidR="00D076F0" w:rsidRDefault="002749EF">
      <w:pPr>
        <w:tabs>
          <w:tab w:val="left" w:pos="1584"/>
        </w:tabs>
        <w:ind w:right="14"/>
        <w:jc w:val="center"/>
        <w:rPr>
          <w:b/>
          <w:u w:val="single"/>
        </w:rPr>
      </w:pPr>
      <w:r>
        <w:rPr>
          <w:b/>
          <w:u w:val="single"/>
        </w:rPr>
        <w:t>AUDIT REPORT</w:t>
      </w:r>
    </w:p>
    <w:p w:rsidR="00D076F0" w:rsidRDefault="00D076F0">
      <w:pPr>
        <w:tabs>
          <w:tab w:val="left" w:pos="1584"/>
        </w:tabs>
        <w:ind w:right="14"/>
        <w:jc w:val="center"/>
        <w:rPr>
          <w:b/>
          <w:u w:val="single"/>
        </w:rPr>
      </w:pPr>
    </w:p>
    <w:p w:rsidR="00D076F0" w:rsidRDefault="002749EF">
      <w:pPr>
        <w:tabs>
          <w:tab w:val="left" w:pos="1584"/>
        </w:tabs>
        <w:ind w:right="14"/>
        <w:jc w:val="center"/>
        <w:rPr>
          <w:b/>
          <w:u w:val="single"/>
        </w:rPr>
      </w:pPr>
      <w:r>
        <w:rPr>
          <w:b/>
          <w:u w:val="single"/>
        </w:rPr>
        <w:t xml:space="preserve">AS OF JUNE 30, 2002 </w:t>
      </w:r>
    </w:p>
    <w:p w:rsidR="00D076F0" w:rsidRDefault="00D076F0">
      <w:pPr>
        <w:ind w:right="-476"/>
      </w:pPr>
    </w:p>
    <w:p w:rsidR="00D076F0" w:rsidRDefault="002749EF">
      <w:pPr>
        <w:ind w:right="-476"/>
      </w:pPr>
      <w:r>
        <w:t>To the Banking Regulation and</w:t>
      </w:r>
      <w:r>
        <w:t xml:space="preserve"> Supervision</w:t>
      </w:r>
    </w:p>
    <w:p w:rsidR="00D076F0" w:rsidRDefault="002749EF">
      <w:pPr>
        <w:ind w:right="-476"/>
      </w:pPr>
      <w:r>
        <w:t xml:space="preserve">     Board and the Board of Directors of</w:t>
      </w:r>
    </w:p>
    <w:p w:rsidR="00D076F0" w:rsidRDefault="002749EF">
      <w:pPr>
        <w:ind w:right="-476"/>
      </w:pPr>
      <w:r>
        <w:t xml:space="preserve">     Türk Ekonomi Bankası A.Ş.</w:t>
      </w:r>
    </w:p>
    <w:p w:rsidR="00D076F0" w:rsidRDefault="00D076F0">
      <w:pPr>
        <w:ind w:left="360" w:right="-476" w:hanging="360"/>
      </w:pPr>
    </w:p>
    <w:p w:rsidR="00D076F0" w:rsidRDefault="002749EF">
      <w:pPr>
        <w:tabs>
          <w:tab w:val="left" w:pos="864"/>
          <w:tab w:val="left" w:pos="2160"/>
          <w:tab w:val="left" w:pos="8280"/>
        </w:tabs>
        <w:spacing w:line="360" w:lineRule="auto"/>
        <w:ind w:left="360" w:right="-256" w:hanging="360"/>
        <w:jc w:val="both"/>
      </w:pPr>
      <w:r>
        <w:t>1.</w:t>
      </w:r>
      <w:r>
        <w:tab/>
        <w:t>We have audited the consolidated balance sheet of Türk Ekonomi Bankası Anonim Şirketi and financial subsidiaries as of June 30, 2002 and the related consolidated state</w:t>
      </w:r>
      <w:r>
        <w:t xml:space="preserve">ment of income for the interim period then ended.  These financial statements are the responsibility of the Bank’s management.  Our responsibility as independent auditors is to express an opnion on these financial statements based on our audit. </w:t>
      </w:r>
    </w:p>
    <w:p w:rsidR="00D076F0" w:rsidRDefault="00D076F0">
      <w:pPr>
        <w:tabs>
          <w:tab w:val="left" w:pos="864"/>
          <w:tab w:val="left" w:pos="2160"/>
          <w:tab w:val="left" w:pos="8280"/>
        </w:tabs>
        <w:spacing w:line="360" w:lineRule="auto"/>
        <w:ind w:right="29"/>
        <w:jc w:val="both"/>
      </w:pPr>
    </w:p>
    <w:p w:rsidR="00D076F0" w:rsidRDefault="002749EF">
      <w:pPr>
        <w:tabs>
          <w:tab w:val="left" w:pos="864"/>
          <w:tab w:val="left" w:pos="2160"/>
          <w:tab w:val="left" w:pos="8280"/>
        </w:tabs>
        <w:spacing w:line="360" w:lineRule="auto"/>
        <w:ind w:left="360" w:right="-256" w:hanging="360"/>
        <w:jc w:val="both"/>
      </w:pPr>
      <w:r>
        <w:t>2.</w:t>
      </w:r>
      <w:r>
        <w:tab/>
        <w:t>We con</w:t>
      </w:r>
      <w:r>
        <w:t xml:space="preserve">ducted our audit in accordance with the auditing standards which were determined by the provisions of Banking Law Number 4389. Those standards require that we plan and perform the audit to obtain reasonable assurance about whether the financial statements </w:t>
      </w:r>
      <w:r>
        <w:t>are free of material misstatement.  An audit includes examining, on a test basis, evidence supporting the amounts and disclosures in the financial statements.  An audit also includes assessing the accounting principles used and significant estimates made b</w:t>
      </w:r>
      <w:r>
        <w:t>y management, as well as evaluating the overall financial statement presentation.  We believe that our audit provides a reasonable basis for our opinion.</w:t>
      </w:r>
    </w:p>
    <w:p w:rsidR="00D076F0" w:rsidRDefault="00D076F0">
      <w:pPr>
        <w:tabs>
          <w:tab w:val="left" w:pos="864"/>
          <w:tab w:val="left" w:pos="2160"/>
          <w:tab w:val="left" w:pos="8280"/>
        </w:tabs>
        <w:spacing w:line="360" w:lineRule="auto"/>
        <w:ind w:left="360" w:right="-256" w:hanging="360"/>
        <w:jc w:val="both"/>
      </w:pPr>
    </w:p>
    <w:p w:rsidR="00D076F0" w:rsidRDefault="002749EF">
      <w:pPr>
        <w:pStyle w:val="BodyText2"/>
        <w:tabs>
          <w:tab w:val="left" w:pos="360"/>
        </w:tabs>
        <w:ind w:left="360" w:hanging="360"/>
      </w:pPr>
      <w:r>
        <w:t>3.</w:t>
      </w:r>
      <w:r>
        <w:tab/>
        <w:t xml:space="preserve">In our opinion, the accompanying consolidated financial statements of Türk Ekonomi Bankası Anonim </w:t>
      </w:r>
      <w:r>
        <w:t>Şirketi and financial subsidiaries as of June 30, 2002, are fairly presented, in all material respects, in accordance with the accounting principles and standards that are based on the Article 13 of the Banking Law number 4389.</w:t>
      </w:r>
    </w:p>
    <w:p w:rsidR="00D076F0" w:rsidRDefault="002749EF">
      <w:pPr>
        <w:pStyle w:val="BodyText"/>
        <w:ind w:right="-1051"/>
        <w:jc w:val="right"/>
      </w:pPr>
      <w:r>
        <w:br w:type="page"/>
      </w:r>
      <w:r>
        <w:object w:dxaOrig="4111" w:dyaOrig="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25.5pt" o:ole="" fillcolor="window">
            <v:imagedata r:id="rId9" o:title=""/>
          </v:shape>
          <o:OLEObject Type="Embed" ProgID="Word.Picture.8" ShapeID="_x0000_i1025" DrawAspect="Content" ObjectID="_1541832484" r:id="rId10"/>
        </w:object>
      </w:r>
    </w:p>
    <w:p w:rsidR="00D076F0" w:rsidRDefault="002749EF">
      <w:pPr>
        <w:tabs>
          <w:tab w:val="left" w:pos="576"/>
          <w:tab w:val="left" w:pos="864"/>
          <w:tab w:val="left" w:pos="1584"/>
          <w:tab w:val="left" w:pos="2016"/>
          <w:tab w:val="left" w:pos="4032"/>
        </w:tabs>
        <w:ind w:right="29"/>
        <w:jc w:val="center"/>
      </w:pPr>
      <w:r>
        <w:t>-2-</w:t>
      </w:r>
    </w:p>
    <w:p w:rsidR="00D076F0" w:rsidRDefault="00D076F0">
      <w:pPr>
        <w:tabs>
          <w:tab w:val="left" w:pos="576"/>
          <w:tab w:val="left" w:pos="864"/>
          <w:tab w:val="left" w:pos="1584"/>
          <w:tab w:val="left" w:pos="2016"/>
          <w:tab w:val="left" w:pos="4032"/>
        </w:tabs>
        <w:ind w:right="29"/>
        <w:jc w:val="center"/>
      </w:pPr>
    </w:p>
    <w:p w:rsidR="00D076F0" w:rsidRDefault="002749EF">
      <w:pPr>
        <w:tabs>
          <w:tab w:val="left" w:pos="576"/>
          <w:tab w:val="left" w:pos="864"/>
          <w:tab w:val="left" w:pos="1584"/>
          <w:tab w:val="left" w:pos="2016"/>
          <w:tab w:val="left" w:pos="4032"/>
        </w:tabs>
        <w:ind w:right="29"/>
        <w:jc w:val="center"/>
      </w:pPr>
      <w:r>
        <w:t>(CONVENIENCE TRANSLATION OF A REPORT AND FINANCIAL STATEMENTS</w:t>
      </w:r>
    </w:p>
    <w:p w:rsidR="00D076F0" w:rsidRDefault="002749EF">
      <w:pPr>
        <w:tabs>
          <w:tab w:val="left" w:pos="576"/>
          <w:tab w:val="left" w:pos="864"/>
          <w:tab w:val="left" w:pos="1584"/>
          <w:tab w:val="left" w:pos="2016"/>
          <w:tab w:val="left" w:pos="4032"/>
        </w:tabs>
        <w:ind w:right="29"/>
        <w:jc w:val="center"/>
      </w:pPr>
      <w:r>
        <w:t>ORIGINALLY ISSUED IN TURKISH – NOTE 9)</w:t>
      </w:r>
    </w:p>
    <w:p w:rsidR="00D076F0" w:rsidRDefault="00D076F0">
      <w:pPr>
        <w:tabs>
          <w:tab w:val="left" w:pos="864"/>
          <w:tab w:val="left" w:pos="2160"/>
          <w:tab w:val="left" w:pos="8280"/>
        </w:tabs>
        <w:spacing w:line="360" w:lineRule="auto"/>
        <w:ind w:right="29"/>
        <w:jc w:val="both"/>
      </w:pPr>
    </w:p>
    <w:p w:rsidR="00D076F0" w:rsidRDefault="002749EF">
      <w:pPr>
        <w:tabs>
          <w:tab w:val="left" w:pos="864"/>
          <w:tab w:val="left" w:pos="2160"/>
          <w:tab w:val="left" w:pos="8280"/>
        </w:tabs>
        <w:spacing w:line="360" w:lineRule="auto"/>
        <w:ind w:left="360" w:right="29" w:hanging="360"/>
        <w:jc w:val="both"/>
        <w:rPr>
          <w:b/>
        </w:rPr>
      </w:pPr>
      <w:r>
        <w:rPr>
          <w:b/>
        </w:rPr>
        <w:tab/>
        <w:t>Additional paragraph for convenience translation to English:</w:t>
      </w:r>
    </w:p>
    <w:p w:rsidR="00D076F0" w:rsidRDefault="00D076F0">
      <w:pPr>
        <w:tabs>
          <w:tab w:val="left" w:pos="864"/>
          <w:tab w:val="left" w:pos="2160"/>
          <w:tab w:val="left" w:pos="8280"/>
        </w:tabs>
        <w:spacing w:line="360" w:lineRule="auto"/>
        <w:ind w:left="360" w:right="29" w:hanging="360"/>
        <w:jc w:val="both"/>
      </w:pPr>
    </w:p>
    <w:p w:rsidR="00D076F0" w:rsidRDefault="002749EF">
      <w:pPr>
        <w:tabs>
          <w:tab w:val="left" w:pos="-720"/>
        </w:tabs>
        <w:suppressAutoHyphens/>
        <w:spacing w:line="360" w:lineRule="auto"/>
        <w:ind w:left="360" w:right="-256" w:hanging="360"/>
        <w:jc w:val="both"/>
      </w:pPr>
      <w:r>
        <w:rPr>
          <w:spacing w:val="-2"/>
        </w:rPr>
        <w:tab/>
        <w:t>The above mentioned accounting principles differ from International Financial Reporti</w:t>
      </w:r>
      <w:r>
        <w:rPr>
          <w:spacing w:val="-2"/>
        </w:rPr>
        <w:t>ng Standards (IFRS) issued by International Accounting Standards Board and so far as such differences apply to the financial statements of the Bank they relate to the format of financial statements and disclosure requirements, the application of IAS 39 (Fi</w:t>
      </w:r>
      <w:r>
        <w:rPr>
          <w:spacing w:val="-2"/>
        </w:rPr>
        <w:t xml:space="preserve">nancial Instruments – Recognition and Measurement), accounting for deferred taxes and accounting for retirement pay liabilities. Based on the current revisions to accounting policies applicable to banks in Turkey, the accompanying financial statements are </w:t>
      </w:r>
      <w:r>
        <w:rPr>
          <w:spacing w:val="-2"/>
        </w:rPr>
        <w:t xml:space="preserve">not presented comparatively and are restated for the effects of inflation. </w:t>
      </w:r>
      <w:r>
        <w:t>The effects of the differences between these accounting principles generally accepted in the countries in which the accompanying financial statements are to be used and IFRS have no</w:t>
      </w:r>
      <w:r>
        <w:t xml:space="preserve">t been quantified in the accompanying financial statements.  Accordingly, the accompanying financial statements are not intended to present the financial position and results of operations in accordance with accounting principles generally accepted in the </w:t>
      </w:r>
      <w:r>
        <w:t>countries of users of the financial statements and IFRS.</w:t>
      </w:r>
    </w:p>
    <w:p w:rsidR="00D076F0" w:rsidRDefault="00D076F0">
      <w:pPr>
        <w:tabs>
          <w:tab w:val="left" w:pos="1584"/>
        </w:tabs>
        <w:spacing w:line="360" w:lineRule="atLeast"/>
        <w:ind w:right="29"/>
        <w:jc w:val="both"/>
      </w:pPr>
    </w:p>
    <w:p w:rsidR="00D076F0" w:rsidRDefault="002749EF">
      <w:pPr>
        <w:ind w:left="2410" w:right="-360"/>
        <w:jc w:val="center"/>
      </w:pPr>
      <w:r>
        <w:rPr>
          <w:sz w:val="24"/>
        </w:rPr>
        <w:t>A.A</w:t>
      </w:r>
      <w:r>
        <w:t xml:space="preserve">. AKTİF ANALİZ </w:t>
      </w:r>
    </w:p>
    <w:p w:rsidR="00D076F0" w:rsidRDefault="002749EF">
      <w:pPr>
        <w:ind w:left="2410" w:right="-360"/>
        <w:jc w:val="center"/>
        <w:rPr>
          <w:sz w:val="16"/>
        </w:rPr>
      </w:pPr>
      <w:r>
        <w:rPr>
          <w:sz w:val="16"/>
        </w:rPr>
        <w:t>SERBEST MUHASEBECİLİK MALİ MÜŞAVİRLİK ANONİM ŞİRKETİ</w:t>
      </w:r>
    </w:p>
    <w:p w:rsidR="00D076F0" w:rsidRDefault="002749EF">
      <w:pPr>
        <w:ind w:left="2410" w:right="-360"/>
        <w:jc w:val="center"/>
      </w:pPr>
      <w:r>
        <w:t>Member of Andersen Worldwide</w:t>
      </w:r>
    </w:p>
    <w:p w:rsidR="00D076F0" w:rsidRDefault="00D076F0">
      <w:pPr>
        <w:ind w:left="2410" w:right="-360"/>
        <w:jc w:val="center"/>
      </w:pPr>
    </w:p>
    <w:p w:rsidR="00D076F0" w:rsidRDefault="00D076F0">
      <w:pPr>
        <w:ind w:right="-360"/>
      </w:pPr>
    </w:p>
    <w:p w:rsidR="00D076F0" w:rsidRDefault="002749EF">
      <w:pPr>
        <w:ind w:left="2410" w:right="-360"/>
        <w:jc w:val="center"/>
      </w:pPr>
      <w:r>
        <w:t>___________</w:t>
      </w:r>
    </w:p>
    <w:p w:rsidR="00D076F0" w:rsidRDefault="002749EF">
      <w:pPr>
        <w:ind w:left="2410" w:right="-360"/>
        <w:jc w:val="center"/>
      </w:pPr>
      <w:r>
        <w:t>Ayşen Topay</w:t>
      </w:r>
    </w:p>
    <w:p w:rsidR="00D076F0" w:rsidRDefault="002749EF">
      <w:pPr>
        <w:pStyle w:val="Header"/>
        <w:tabs>
          <w:tab w:val="left" w:pos="1584"/>
        </w:tabs>
      </w:pPr>
      <w:r>
        <w:t>İstanbul,</w:t>
      </w:r>
    </w:p>
    <w:p w:rsidR="00D076F0" w:rsidRDefault="002749EF">
      <w:pPr>
        <w:tabs>
          <w:tab w:val="left" w:pos="1584"/>
        </w:tabs>
      </w:pPr>
      <w:r>
        <w:t>July 31, 2002.</w:t>
      </w:r>
    </w:p>
    <w:p w:rsidR="00D076F0" w:rsidRDefault="00D076F0">
      <w:pPr>
        <w:tabs>
          <w:tab w:val="left" w:pos="1584"/>
        </w:tabs>
      </w:pPr>
    </w:p>
    <w:p w:rsidR="00D076F0" w:rsidRDefault="002749EF">
      <w:pPr>
        <w:pStyle w:val="Header"/>
        <w:tabs>
          <w:tab w:val="clear" w:pos="4320"/>
          <w:tab w:val="clear" w:pos="8640"/>
        </w:tabs>
        <w:rPr>
          <w:sz w:val="2"/>
        </w:rPr>
      </w:pPr>
      <w:r>
        <w:br w:type="page"/>
      </w:r>
    </w:p>
    <w:tbl>
      <w:tblPr>
        <w:tblW w:w="9526" w:type="dxa"/>
        <w:tblLayout w:type="fixed"/>
        <w:tblCellMar>
          <w:left w:w="0" w:type="dxa"/>
          <w:right w:w="0" w:type="dxa"/>
        </w:tblCellMar>
        <w:tblLook w:val="0000" w:firstRow="0" w:lastRow="0" w:firstColumn="0" w:lastColumn="0" w:noHBand="0" w:noVBand="0"/>
      </w:tblPr>
      <w:tblGrid>
        <w:gridCol w:w="804"/>
        <w:gridCol w:w="315"/>
        <w:gridCol w:w="6353"/>
        <w:gridCol w:w="2054"/>
      </w:tblGrid>
      <w:tr w:rsidR="00D076F0">
        <w:trPr>
          <w:trHeight w:val="255"/>
        </w:trPr>
        <w:tc>
          <w:tcPr>
            <w:tcW w:w="9526" w:type="dxa"/>
            <w:gridSpan w:val="4"/>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u w:val="single"/>
              </w:rPr>
            </w:pPr>
            <w:r>
              <w:rPr>
                <w:sz w:val="20"/>
              </w:rPr>
              <w:br w:type="page"/>
            </w:r>
            <w:r>
              <w:rPr>
                <w:sz w:val="20"/>
              </w:rPr>
              <w:br w:type="page"/>
            </w:r>
            <w:r>
              <w:rPr>
                <w:rFonts w:ascii="Arial TUR" w:hAnsi="Arial TUR" w:cs="Arial TUR"/>
                <w:b/>
                <w:bCs/>
                <w:sz w:val="20"/>
                <w:u w:val="single"/>
              </w:rPr>
              <w:t>TÜRK EKONOMI BANKASI A.S.</w:t>
            </w:r>
          </w:p>
        </w:tc>
      </w:tr>
      <w:tr w:rsidR="00D076F0">
        <w:trPr>
          <w:trHeight w:val="255"/>
        </w:trPr>
        <w:tc>
          <w:tcPr>
            <w:tcW w:w="9526" w:type="dxa"/>
            <w:gridSpan w:val="4"/>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u w:val="single"/>
              </w:rPr>
            </w:pPr>
            <w:r>
              <w:rPr>
                <w:rFonts w:ascii="Arial TUR" w:hAnsi="Arial TUR" w:cs="Arial TUR"/>
                <w:b/>
                <w:bCs/>
                <w:sz w:val="20"/>
                <w:u w:val="single"/>
              </w:rPr>
              <w:t xml:space="preserve">CONSOLIDATED </w:t>
            </w:r>
            <w:r>
              <w:rPr>
                <w:rFonts w:ascii="Arial TUR" w:hAnsi="Arial TUR" w:cs="Arial TUR"/>
                <w:b/>
                <w:bCs/>
                <w:sz w:val="20"/>
                <w:u w:val="single"/>
              </w:rPr>
              <w:t>BALANCE SHEET (PARENT)</w:t>
            </w:r>
          </w:p>
        </w:tc>
      </w:tr>
      <w:tr w:rsidR="00D076F0">
        <w:trPr>
          <w:trHeight w:val="255"/>
        </w:trPr>
        <w:tc>
          <w:tcPr>
            <w:tcW w:w="9526" w:type="dxa"/>
            <w:gridSpan w:val="4"/>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(Currency--Billions of Turkish lira in equivalent purchasing power at June 30, 2002)</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2054"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Current Period</w:t>
            </w:r>
          </w:p>
        </w:tc>
      </w:tr>
      <w:tr w:rsidR="00D076F0">
        <w:trPr>
          <w:trHeight w:val="270"/>
        </w:trPr>
        <w:tc>
          <w:tcPr>
            <w:tcW w:w="804" w:type="dxa"/>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w:t>
            </w:r>
          </w:p>
        </w:tc>
        <w:tc>
          <w:tcPr>
            <w:tcW w:w="6668" w:type="dxa"/>
            <w:gridSpan w:val="2"/>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ASSETS</w:t>
            </w:r>
          </w:p>
        </w:tc>
        <w:tc>
          <w:tcPr>
            <w:tcW w:w="2054" w:type="dxa"/>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( 30/06/2002)</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205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CASH</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64,146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Vault (Cash in TL)</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3,909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Effective Depot</w:t>
            </w:r>
            <w:r>
              <w:rPr>
                <w:rFonts w:ascii="Arial TUR" w:hAnsi="Arial TUR" w:cs="Arial TUR"/>
                <w:sz w:val="20"/>
              </w:rPr>
              <w:t xml:space="preserve"> (Cash in Foreign Currency)</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58,458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1,779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BANKS</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811,327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Central Bank of Turkey</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9,216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Others Bank</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802,111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 Local Banks</w:t>
            </w:r>
          </w:p>
        </w:tc>
        <w:tc>
          <w:tcPr>
            <w:tcW w:w="2054" w:type="dxa"/>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111,160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 Foreign Banks  </w:t>
            </w:r>
          </w:p>
        </w:tc>
        <w:tc>
          <w:tcPr>
            <w:tcW w:w="2054" w:type="dxa"/>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690,951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III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FINANCIAL INSTITUTIONS</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9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IV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INTERBANK FUNDS SOLD</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612,817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MARKETABLE SECURITIES [Net]</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21,753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Government Bonds and Treasury Bills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21,524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Private Sector Bonds and Bills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Share Certificates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16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D.</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Marketable Securities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213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LOANS</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1,178,945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Short-term</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1,062,080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Medium and Long-Term</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116,865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VII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FACTORING RECEIVABLES</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40,257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VIII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LEASING RECEIVABLES (Net)</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54,655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Leasing Receivables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62,982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Unearned Income (-)</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(8,327)</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IX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RECEIVABLES IN FOLLOW-UP, [Net]</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7,556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Loans Under Follow-up</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17,340 </w:t>
            </w:r>
          </w:p>
        </w:tc>
      </w:tr>
      <w:tr w:rsidR="00D076F0">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Specific Reserve Provided (-)</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(9,784)</w:t>
            </w:r>
          </w:p>
        </w:tc>
      </w:tr>
      <w:tr w:rsidR="00D076F0">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AND OTHER</w:t>
            </w:r>
            <w:r>
              <w:rPr>
                <w:rFonts w:ascii="Arial TUR" w:hAnsi="Arial TUR" w:cs="Arial TUR"/>
                <w:sz w:val="20"/>
              </w:rPr>
              <w:t xml:space="preserve"> INCOME ACCRUALS</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41,018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Loans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20,637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Marketable Securities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3,986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16,395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XI -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RESERVE DEPOSITS</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108,129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Reserve Deposits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108,129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R</w:t>
            </w:r>
            <w:r>
              <w:rPr>
                <w:rFonts w:ascii="Arial TUR" w:hAnsi="Arial TUR" w:cs="Arial TUR"/>
                <w:sz w:val="20"/>
              </w:rPr>
              <w:t>eserves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XII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MISCELLANEOUS RECEIVABLES</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474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XIII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UNCONSOLIDATED PARTICIPATIONS, (Net)</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272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Financial Participations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272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Non-financial Participations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XIV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UNCONSOLIDATED SUBSIDIARIES, (Net)</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269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Financial Subsidiaries </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269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Non-financial Subsidiaries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XV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LONG-TERM MARKETABLE SECURITIES</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136,059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Share Certificates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9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Marketable Securities Subject to Repo Transactions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70,900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Marketable Securities</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65,150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XVI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FIXED ASSETS, [Net]</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35,521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Cost</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82,008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Accumulated Depreciation (-)</w:t>
            </w:r>
          </w:p>
        </w:tc>
        <w:tc>
          <w:tcPr>
            <w:tcW w:w="2054" w:type="dxa"/>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(46,487)</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XVII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GOODWILL ON CONSOLIDATION</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255 </w:t>
            </w:r>
          </w:p>
        </w:tc>
      </w:tr>
      <w:tr w:rsidR="00D076F0">
        <w:trPr>
          <w:trHeight w:val="270"/>
        </w:trPr>
        <w:tc>
          <w:tcPr>
            <w:tcW w:w="804" w:type="dxa"/>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XVIII -</w:t>
            </w:r>
          </w:p>
        </w:tc>
        <w:tc>
          <w:tcPr>
            <w:tcW w:w="6668" w:type="dxa"/>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OTHER ASSETS </w:t>
            </w:r>
          </w:p>
        </w:tc>
        <w:tc>
          <w:tcPr>
            <w:tcW w:w="2054" w:type="dxa"/>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33,800 </w:t>
            </w:r>
          </w:p>
        </w:tc>
      </w:tr>
      <w:tr w:rsidR="00D076F0">
        <w:trPr>
          <w:trHeight w:val="255"/>
        </w:trPr>
        <w:tc>
          <w:tcPr>
            <w:tcW w:w="80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315"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6353"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2054" w:type="dxa"/>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804" w:type="dxa"/>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w:t>
            </w:r>
          </w:p>
        </w:tc>
        <w:tc>
          <w:tcPr>
            <w:tcW w:w="6668" w:type="dxa"/>
            <w:gridSpan w:val="2"/>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TOTAL ASSETS</w:t>
            </w:r>
          </w:p>
        </w:tc>
        <w:tc>
          <w:tcPr>
            <w:tcW w:w="2054" w:type="dxa"/>
            <w:tcBorders>
              <w:top w:val="nil"/>
              <w:left w:val="nil"/>
              <w:bottom w:val="double" w:sz="6" w:space="0" w:color="0000FF"/>
              <w:right w:val="nil"/>
            </w:tcBorders>
            <w:noWrap/>
            <w:tcMar>
              <w:top w:w="15" w:type="dxa"/>
              <w:left w:w="15" w:type="dxa"/>
              <w:bottom w:w="0" w:type="dxa"/>
              <w:right w:w="15" w:type="dxa"/>
            </w:tcMar>
            <w:vAlign w:val="bottom"/>
          </w:tcPr>
          <w:p w:rsidR="00D076F0" w:rsidRDefault="002749EF">
            <w:pPr>
              <w:pStyle w:val="ABLOCKPARA9"/>
              <w:spacing w:line="240" w:lineRule="auto"/>
              <w:rPr>
                <w:rFonts w:ascii="Arial TUR" w:eastAsia="Arial Unicode MS" w:hAnsi="Arial TUR" w:cs="Arial TUR"/>
                <w:sz w:val="20"/>
              </w:rPr>
            </w:pPr>
            <w:r>
              <w:rPr>
                <w:rFonts w:ascii="Arial TUR" w:hAnsi="Arial TUR" w:cs="Arial TUR"/>
                <w:sz w:val="20"/>
              </w:rPr>
              <w:t xml:space="preserve">          3,147,262 </w:t>
            </w:r>
          </w:p>
        </w:tc>
      </w:tr>
    </w:tbl>
    <w:p w:rsidR="00D076F0" w:rsidRDefault="002749EF">
      <w:pPr>
        <w:tabs>
          <w:tab w:val="left" w:pos="1584"/>
          <w:tab w:val="left" w:pos="5040"/>
          <w:tab w:val="left" w:pos="6192"/>
          <w:tab w:val="left" w:pos="8496"/>
        </w:tabs>
        <w:rPr>
          <w:sz w:val="2"/>
        </w:rPr>
      </w:pPr>
      <w:r>
        <w:rPr>
          <w:sz w:val="24"/>
        </w:rPr>
        <w:br w:type="page"/>
      </w:r>
    </w:p>
    <w:tbl>
      <w:tblPr>
        <w:tblW w:w="9600" w:type="dxa"/>
        <w:tblCellMar>
          <w:left w:w="0" w:type="dxa"/>
          <w:right w:w="0" w:type="dxa"/>
        </w:tblCellMar>
        <w:tblLook w:val="0000" w:firstRow="0" w:lastRow="0" w:firstColumn="0" w:lastColumn="0" w:noHBand="0" w:noVBand="0"/>
      </w:tblPr>
      <w:tblGrid>
        <w:gridCol w:w="683"/>
        <w:gridCol w:w="364"/>
        <w:gridCol w:w="6534"/>
        <w:gridCol w:w="124"/>
        <w:gridCol w:w="52"/>
        <w:gridCol w:w="2152"/>
      </w:tblGrid>
      <w:tr w:rsidR="00D076F0">
        <w:trPr>
          <w:trHeight w:val="255"/>
        </w:trPr>
        <w:tc>
          <w:tcPr>
            <w:tcW w:w="9600" w:type="dxa"/>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u w:val="single"/>
              </w:rPr>
            </w:pPr>
            <w:r>
              <w:rPr>
                <w:rFonts w:ascii="Arial TUR" w:hAnsi="Arial TUR" w:cs="Arial TUR"/>
                <w:b/>
                <w:bCs/>
                <w:sz w:val="20"/>
                <w:u w:val="single"/>
              </w:rPr>
              <w:t xml:space="preserve">TÜRK EKONOMI BANKASI </w:t>
            </w:r>
            <w:r>
              <w:rPr>
                <w:rFonts w:ascii="Arial TUR" w:hAnsi="Arial TUR" w:cs="Arial TUR"/>
                <w:b/>
                <w:bCs/>
                <w:sz w:val="20"/>
                <w:u w:val="single"/>
              </w:rPr>
              <w:t>A.S.</w:t>
            </w:r>
          </w:p>
        </w:tc>
      </w:tr>
      <w:tr w:rsidR="00D076F0">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u w:val="single"/>
              </w:rPr>
            </w:pPr>
            <w:r>
              <w:rPr>
                <w:rFonts w:ascii="Arial TUR" w:hAnsi="Arial TUR" w:cs="Arial TUR"/>
                <w:b/>
                <w:bCs/>
                <w:sz w:val="20"/>
                <w:u w:val="single"/>
              </w:rPr>
              <w:t>CONSOLIDATED BALANCE SHEETS (PARENT)</w:t>
            </w:r>
          </w:p>
        </w:tc>
      </w:tr>
      <w:tr w:rsidR="00D076F0">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(Currency--Billions of Turkish lira in equivalent purchasing power at June 30, 2002)</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b/>
                <w:bC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Current Period</w:t>
            </w:r>
          </w:p>
        </w:tc>
      </w:tr>
      <w:tr w:rsidR="00D076F0">
        <w:trPr>
          <w:trHeight w:val="270"/>
        </w:trPr>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w:t>
            </w:r>
          </w:p>
        </w:tc>
        <w:tc>
          <w:tcPr>
            <w:tcW w:w="0" w:type="auto"/>
            <w:gridSpan w:val="2"/>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LIABILITIES</w:t>
            </w: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( 30/06/2002)</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2,185,323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Saving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79,901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Certificate of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Public Institutions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1,852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Commercial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108,920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Institutions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718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F.</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Banking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35,675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G.</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1,938,873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H.</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Gold Account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19,384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II -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INTERBANK FUNDS BORROWED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FUNDS BORROWED UNDER SECURITIES REPURCHASE </w:t>
            </w:r>
            <w:r>
              <w:rPr>
                <w:rFonts w:ascii="Arial TUR" w:hAnsi="Arial TUR" w:cs="Arial TUR"/>
                <w:sz w:val="20"/>
              </w:rPr>
              <w:t>AGREEMENTS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76,230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IV -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FUNDS BORROWED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496,877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Funds Borrowed from Central Bank of Turkey</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Funds Borrowed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496,877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 Local Banks and Institutions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16,915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 Foreign Banks and Institutions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479,962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 Share Capital Advances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V -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pStyle w:val="ABLOCKPARA9"/>
              <w:spacing w:line="240" w:lineRule="auto"/>
              <w:rPr>
                <w:rFonts w:ascii="Arial TUR" w:eastAsia="Arial Unicode MS" w:hAnsi="Arial TUR" w:cs="Arial TUR"/>
                <w:sz w:val="20"/>
              </w:rPr>
            </w:pPr>
            <w:r>
              <w:rPr>
                <w:rFonts w:ascii="Arial TUR" w:hAnsi="Arial TUR" w:cs="Arial TUR"/>
                <w:sz w:val="20"/>
              </w:rPr>
              <w:t>FACTORING PAYABLES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13,550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FINANCIAL LEASE PAYABLES (Net)</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Financial Lease Payables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Deferred Financial Lease Expenses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VII -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BONDS ISSUED (Net)</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Bonds and Bills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Asset Backed Secur</w:t>
            </w:r>
            <w:r>
              <w:rPr>
                <w:rFonts w:ascii="Arial TUR" w:hAnsi="Arial TUR" w:cs="Arial TUR"/>
                <w:sz w:val="20"/>
              </w:rPr>
              <w:t>ities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INTEREST AND OTHER EXPENSE ACCRUALS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26,825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12,048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Funds Borrowed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4,376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w:t>
            </w:r>
            <w:r>
              <w:rPr>
                <w:rFonts w:ascii="Arial TUR" w:hAnsi="Arial TUR" w:cs="Arial TUR"/>
                <w:sz w:val="20"/>
              </w:rPr>
              <w:t>er</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10,401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TAXES AND FUNDS PAYABLES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7,623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IMPORT TRANSFER ORDERS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2,142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MISCELLANEOUS PAYABLES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26,622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RESERVES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39,862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Reserve for Retirement</w:t>
            </w:r>
            <w:r>
              <w:rPr>
                <w:rFonts w:ascii="Arial TUR" w:hAnsi="Arial TUR" w:cs="Arial TUR"/>
                <w:sz w:val="20"/>
              </w:rPr>
              <w:t xml:space="preserve"> Pay Liability</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1,502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General Reserve for Possible Loan Losses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4,759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Reserve for Taxes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27,136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Reserves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452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Technical Insurance Reserves (Net)</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w:t>
            </w:r>
            <w:r>
              <w:rPr>
                <w:rFonts w:ascii="Arial TUR" w:hAnsi="Arial TUR" w:cs="Arial TUR"/>
                <w:sz w:val="20"/>
              </w:rPr>
              <w:t xml:space="preserve">       6,013 </w:t>
            </w:r>
          </w:p>
        </w:tc>
      </w:tr>
      <w:tr w:rsidR="00D076F0">
        <w:tc>
          <w:tcPr>
            <w:tcW w:w="0" w:type="auto"/>
            <w:tcBorders>
              <w:top w:val="nil"/>
              <w:left w:val="nil"/>
              <w:bottom w:val="nil"/>
              <w:right w:val="nil"/>
            </w:tcBorders>
            <w:noWrap/>
            <w:tcMar>
              <w:top w:w="15" w:type="dxa"/>
              <w:left w:w="15" w:type="dxa"/>
              <w:bottom w:w="0" w:type="dxa"/>
              <w:right w:w="15" w:type="dxa"/>
            </w:tcMar>
            <w:vAlign w:val="bottom"/>
          </w:tcPr>
          <w:p w:rsidR="00D076F0" w:rsidRDefault="00D076F0"/>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D076F0"/>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SHARE OF UNCONSOLIDATED PARTICIPATIONS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16,548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LIABILITIES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37,334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XV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SHAREHOLDERS' EQUITY</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450,034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Paid-in Capital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55,125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 Nominal Capital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55,125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 Unpaid Capital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Reserves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388,301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1) Legal Reserves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47,225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eastAsia="Arial Unicode MS" w:cs="Arial"/>
                <w:sz w:val="20"/>
              </w:rPr>
            </w:pPr>
            <w:r>
              <w:rPr>
                <w:rFonts w:cs="Arial"/>
                <w:sz w:val="20"/>
              </w:rPr>
              <w:t>2) Effect of Inflation Accounting on Share Capital</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341,076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Revaluation Funds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Valuation Differences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6,120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Negative Consolidation Goodwill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488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PROFIT AND LOSS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(231,708)</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Current Period </w:t>
            </w:r>
            <w:r>
              <w:rPr>
                <w:rFonts w:ascii="Arial TUR" w:hAnsi="Arial TUR" w:cs="Arial TUR"/>
                <w:sz w:val="20"/>
              </w:rPr>
              <w:t>Profit and Loss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16,747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 Group's Share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15,689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 Minority Share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1,058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Prior Period Profit and Loss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(248,455)</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 Group's Share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(239,714)</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 Minority Share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(8,741)</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w:t>
            </w:r>
          </w:p>
        </w:tc>
        <w:tc>
          <w:tcPr>
            <w:tcW w:w="0" w:type="auto"/>
            <w:gridSpan w:val="2"/>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TOTAL LIABILITIES</w:t>
            </w: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uble" w:sz="6"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3,147,262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OFF-BALANCE SHEET OBLIGATIONS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GUARANTEES AND COLLATERALS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871,440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COMMITMENTS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257,085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FOREIGN CURRENCY AND </w:t>
            </w:r>
            <w:r>
              <w:rPr>
                <w:rFonts w:ascii="Arial TUR" w:hAnsi="Arial TUR" w:cs="Arial TUR"/>
                <w:sz w:val="20"/>
              </w:rPr>
              <w:t>INTEREST RELATED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721,725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1,285,928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w:t>
            </w:r>
          </w:p>
        </w:tc>
        <w:tc>
          <w:tcPr>
            <w:tcW w:w="0" w:type="auto"/>
            <w:gridSpan w:val="2"/>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TOTAL</w:t>
            </w: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uble" w:sz="6"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3,136,178 </w:t>
            </w:r>
          </w:p>
        </w:tc>
      </w:tr>
    </w:tbl>
    <w:p w:rsidR="00D076F0" w:rsidRDefault="00D076F0">
      <w:pPr>
        <w:tabs>
          <w:tab w:val="left" w:pos="1584"/>
          <w:tab w:val="left" w:pos="5040"/>
          <w:tab w:val="left" w:pos="6192"/>
          <w:tab w:val="left" w:pos="8496"/>
        </w:tabs>
        <w:rPr>
          <w:sz w:val="24"/>
        </w:rPr>
      </w:pPr>
    </w:p>
    <w:p w:rsidR="00D076F0" w:rsidRDefault="002749EF">
      <w:pPr>
        <w:tabs>
          <w:tab w:val="left" w:pos="1584"/>
          <w:tab w:val="left" w:pos="5040"/>
          <w:tab w:val="left" w:pos="6192"/>
          <w:tab w:val="left" w:pos="8496"/>
        </w:tabs>
        <w:rPr>
          <w:sz w:val="4"/>
        </w:rPr>
      </w:pPr>
      <w:r>
        <w:rPr>
          <w:sz w:val="24"/>
        </w:rPr>
        <w:br w:type="page"/>
      </w:r>
    </w:p>
    <w:tbl>
      <w:tblPr>
        <w:tblW w:w="9600" w:type="dxa"/>
        <w:tblCellMar>
          <w:left w:w="0" w:type="dxa"/>
          <w:right w:w="0" w:type="dxa"/>
        </w:tblCellMar>
        <w:tblLook w:val="0000" w:firstRow="0" w:lastRow="0" w:firstColumn="0" w:lastColumn="0" w:noHBand="0" w:noVBand="0"/>
      </w:tblPr>
      <w:tblGrid>
        <w:gridCol w:w="649"/>
        <w:gridCol w:w="347"/>
        <w:gridCol w:w="6354"/>
        <w:gridCol w:w="52"/>
        <w:gridCol w:w="52"/>
        <w:gridCol w:w="2147"/>
      </w:tblGrid>
      <w:tr w:rsidR="00D076F0">
        <w:trPr>
          <w:trHeight w:val="255"/>
        </w:trPr>
        <w:tc>
          <w:tcPr>
            <w:tcW w:w="9600" w:type="dxa"/>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u w:val="single"/>
              </w:rPr>
            </w:pPr>
            <w:r>
              <w:rPr>
                <w:rFonts w:ascii="Arial TUR" w:hAnsi="Arial TUR" w:cs="Arial TUR"/>
                <w:b/>
                <w:bCs/>
                <w:sz w:val="20"/>
                <w:u w:val="single"/>
              </w:rPr>
              <w:t>TÜRK EKONOMI BANKASI A.S.</w:t>
            </w:r>
          </w:p>
        </w:tc>
      </w:tr>
      <w:tr w:rsidR="00D076F0">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u w:val="single"/>
              </w:rPr>
            </w:pPr>
            <w:r>
              <w:rPr>
                <w:rFonts w:ascii="Arial TUR" w:hAnsi="Arial TUR" w:cs="Arial TUR"/>
                <w:b/>
                <w:bCs/>
                <w:sz w:val="20"/>
                <w:u w:val="single"/>
              </w:rPr>
              <w:t>CONSOLIDATED STATEMENTS OF INCOME (PARENT)</w:t>
            </w:r>
          </w:p>
        </w:tc>
      </w:tr>
      <w:tr w:rsidR="00D076F0">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(Currency--Billions of Turkish lira in equivalent pur</w:t>
            </w:r>
            <w:r>
              <w:rPr>
                <w:rFonts w:ascii="Arial TUR" w:hAnsi="Arial TUR" w:cs="Arial TUR"/>
                <w:b/>
                <w:bCs/>
                <w:sz w:val="20"/>
              </w:rPr>
              <w:t>chasing power at June 30, 2002)</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b/>
                <w:bC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MS Sans Serif" w:eastAsia="Arial Unicode MS" w:hAnsi="MS Sans Serif" w:cs="Arial Unicode MS"/>
                <w:sz w:val="20"/>
              </w:rPr>
            </w:pP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Current Period</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b/>
                <w:bC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b/>
                <w:bC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b/>
                <w:bCs/>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20"/>
              </w:rPr>
            </w:pPr>
            <w:r>
              <w:rPr>
                <w:rFonts w:ascii="Arial TUR" w:hAnsi="Arial TUR" w:cs="Arial TUR"/>
                <w:b/>
                <w:bCs/>
                <w:sz w:val="20"/>
              </w:rPr>
              <w:t>( 30/06/2002)</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INCOME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206,852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Income on Loans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86,605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Income on Reserve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1,485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w:t>
            </w:r>
            <w:r>
              <w:rPr>
                <w:rFonts w:ascii="Arial TUR" w:hAnsi="Arial TUR" w:cs="Arial TUR"/>
                <w:sz w:val="20"/>
              </w:rPr>
              <w:t>t Income on Bank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22,386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Income on Interbank Funds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43,571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Interest Income on Marketable Securities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38,401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F.</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Other Interest Income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14,404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w:t>
            </w:r>
            <w:r>
              <w:rPr>
                <w:rFonts w:ascii="Arial TUR" w:hAnsi="Arial TUR" w:cs="Arial TUR"/>
                <w:sz w:val="20"/>
              </w:rPr>
              <w:t xml:space="preserve">ST EXPENSE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114,799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Expense on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76,838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 Saving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23,532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 Certificate of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 Public Institutions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w:t>
            </w:r>
            <w:r>
              <w:rPr>
                <w:rFonts w:ascii="Arial TUR" w:hAnsi="Arial TUR" w:cs="Arial TUR"/>
                <w:sz w:val="20"/>
              </w:rPr>
              <w:t xml:space="preserve">   3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 Commercial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12,345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 Other Institutions Deposits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6) Banking Deposits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0000FF"/>
              <w:right w:val="nil"/>
            </w:tcBorders>
            <w:noWrap/>
            <w:tcMar>
              <w:top w:w="15" w:type="dxa"/>
              <w:left w:w="15" w:type="dxa"/>
              <w:bottom w:w="0" w:type="dxa"/>
              <w:right w:w="15" w:type="dxa"/>
            </w:tcMar>
            <w:vAlign w:val="bottom"/>
          </w:tcPr>
          <w:p w:rsidR="00D076F0" w:rsidRDefault="002749EF">
            <w:pPr>
              <w:pStyle w:val="ABLOCKPARA9"/>
              <w:spacing w:line="240" w:lineRule="auto"/>
              <w:rPr>
                <w:rFonts w:ascii="Arial TUR" w:eastAsia="Arial Unicode MS" w:hAnsi="Arial TUR" w:cs="Arial TUR"/>
                <w:sz w:val="20"/>
              </w:rPr>
            </w:pPr>
            <w:r>
              <w:rPr>
                <w:rFonts w:ascii="Arial TUR" w:hAnsi="Arial TUR" w:cs="Arial TUR"/>
                <w:sz w:val="20"/>
              </w:rPr>
              <w:t xml:space="preserve">                3,836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 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37,034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8) Gold Account Deposits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ash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Expense on Interbank Funds Borrowed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Expense on Funds Borrowed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dotted" w:sz="4" w:space="0" w:color="0000FF"/>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21,933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Interest Expense on Marketable Securities Issued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dotted" w:sz="4" w:space="0" w:color="0000FF"/>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w:t>
            </w:r>
            <w:r>
              <w:rPr>
                <w:rFonts w:ascii="Arial TUR" w:hAnsi="Arial TUR" w:cs="Arial TUR"/>
                <w:sz w:val="20"/>
              </w:rPr>
              <w:t xml:space="preserve">r Interest Expense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16,000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NET INTEREST INCOME [I -II]</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uble" w:sz="6"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92,053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NON-INTEREST EXPENSE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191,639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Fees and Commissions Received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17,821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1) Cash Loans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w:t>
            </w:r>
            <w:r>
              <w:rPr>
                <w:rFonts w:ascii="Arial TUR" w:hAnsi="Arial TUR" w:cs="Arial TUR"/>
                <w:sz w:val="20"/>
              </w:rPr>
              <w:t xml:space="preserve">     1,050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2) Non-cash loans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2,739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3) Others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14,032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Gain on Capital Market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11,824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Foreign Exchange Gains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148,630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Dividends from Participation and Subsidi</w:t>
            </w:r>
            <w:r>
              <w:rPr>
                <w:rFonts w:ascii="Arial TUR" w:hAnsi="Arial TUR" w:cs="Arial TUR"/>
                <w:sz w:val="20"/>
              </w:rPr>
              <w:t>aries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Extraordinary Income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F.</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Non-interest Income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13,364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NON-INTEREST EXPENSE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231,180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Fees and Commissions Paid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5,213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1) Cash Loans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573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2) Non-cash loans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113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jc w:val="cente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3) Others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4,527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Loss on Capital Market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7,408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Foreign Exchange Losses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152,790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Perso</w:t>
            </w:r>
            <w:r>
              <w:rPr>
                <w:rFonts w:ascii="Arial TUR" w:hAnsi="Arial TUR" w:cs="Arial TUR"/>
                <w:sz w:val="20"/>
              </w:rPr>
              <w:t>nnel Expenses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23,426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pStyle w:val="EndnoteText"/>
              <w:rPr>
                <w:rFonts w:ascii="Arial TUR" w:eastAsia="Arial Unicode MS" w:hAnsi="Arial TUR" w:cs="Arial TUR"/>
              </w:rPr>
            </w:pPr>
            <w:r>
              <w:rPr>
                <w:rFonts w:ascii="Arial TUR" w:hAnsi="Arial TUR" w:cs="Arial TUR"/>
              </w:rPr>
              <w:t>Provision for Retirement Pay Liability</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534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F.</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Rent Expenses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5,570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G.</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Depreciation Charge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5,865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H.</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Taxes and Funds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5,299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I.</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Ext</w:t>
            </w:r>
            <w:r>
              <w:rPr>
                <w:rFonts w:ascii="Arial TUR" w:hAnsi="Arial TUR" w:cs="Arial TUR"/>
                <w:sz w:val="20"/>
              </w:rPr>
              <w:t>raordinary Expenses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990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J.</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Provision for loans in follow-up</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4,780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K.</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Provisions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2,789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L.</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Other Expenses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16,516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NET NON-INTEREST EXPENSES [IV -V]</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uble" w:sz="6"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w:t>
            </w:r>
            <w:r>
              <w:rPr>
                <w:rFonts w:ascii="Arial TUR" w:hAnsi="Arial TUR" w:cs="Arial TUR"/>
                <w:sz w:val="20"/>
              </w:rPr>
              <w:t xml:space="preserve">      (39,541)</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INCOME BEFORE TAX [III - VI]</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uble" w:sz="6"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52,512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PROVISION FOR TAXATION</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(12,592)</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NON-CONSOLIDATED SUBSIDIARIES GAIN / (LOSS)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NET MONETARY GA</w:t>
            </w:r>
            <w:r>
              <w:rPr>
                <w:rFonts w:ascii="Arial TUR" w:hAnsi="Arial TUR" w:cs="Arial TUR"/>
                <w:sz w:val="20"/>
              </w:rPr>
              <w:t>IN/(LOSS)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(23,173)</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XI -</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20"/>
              </w:rPr>
            </w:pPr>
            <w:r>
              <w:rPr>
                <w:rFonts w:ascii="Arial TUR" w:hAnsi="Arial TUR" w:cs="Arial TUR"/>
                <w:b/>
                <w:bCs/>
                <w:sz w:val="20"/>
              </w:rPr>
              <w:t>NET INCOME [VII - VIII]</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uble" w:sz="6"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16,747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sz w:val="20"/>
              </w:rPr>
            </w:pPr>
            <w:r>
              <w:rPr>
                <w:rFonts w:ascii="Arial TUR" w:hAnsi="Arial TUR" w:cs="Arial TUR"/>
                <w:sz w:val="20"/>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Group's Share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20"/>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20"/>
              </w:rPr>
            </w:pPr>
            <w:r>
              <w:rPr>
                <w:rFonts w:ascii="Arial TUR" w:hAnsi="Arial TUR" w:cs="Arial TUR"/>
                <w:sz w:val="20"/>
              </w:rPr>
              <w:t xml:space="preserve">              15,689 </w:t>
            </w:r>
          </w:p>
        </w:tc>
      </w:tr>
    </w:tbl>
    <w:p w:rsidR="00D076F0" w:rsidRDefault="00D076F0">
      <w:pPr>
        <w:tabs>
          <w:tab w:val="left" w:pos="1584"/>
          <w:tab w:val="left" w:pos="5040"/>
          <w:tab w:val="left" w:pos="6192"/>
          <w:tab w:val="left" w:pos="8496"/>
        </w:tabs>
        <w:rPr>
          <w:sz w:val="24"/>
        </w:rPr>
      </w:pPr>
    </w:p>
    <w:p w:rsidR="00D076F0" w:rsidRDefault="002749EF">
      <w:pPr>
        <w:tabs>
          <w:tab w:val="left" w:pos="1584"/>
          <w:tab w:val="left" w:pos="5040"/>
          <w:tab w:val="left" w:pos="6192"/>
          <w:tab w:val="left" w:pos="8496"/>
        </w:tabs>
        <w:rPr>
          <w:sz w:val="2"/>
        </w:rPr>
      </w:pPr>
      <w:r>
        <w:rPr>
          <w:sz w:val="24"/>
        </w:rPr>
        <w:br w:type="page"/>
      </w:r>
    </w:p>
    <w:tbl>
      <w:tblPr>
        <w:tblW w:w="9601" w:type="dxa"/>
        <w:tblCellMar>
          <w:left w:w="0" w:type="dxa"/>
          <w:right w:w="0" w:type="dxa"/>
        </w:tblCellMar>
        <w:tblLook w:val="0000" w:firstRow="0" w:lastRow="0" w:firstColumn="0" w:lastColumn="0" w:noHBand="0" w:noVBand="0"/>
      </w:tblPr>
      <w:tblGrid>
        <w:gridCol w:w="386"/>
        <w:gridCol w:w="327"/>
        <w:gridCol w:w="6697"/>
        <w:gridCol w:w="53"/>
        <w:gridCol w:w="53"/>
        <w:gridCol w:w="2085"/>
      </w:tblGrid>
      <w:tr w:rsidR="00D076F0">
        <w:trPr>
          <w:trHeight w:val="255"/>
        </w:trPr>
        <w:tc>
          <w:tcPr>
            <w:tcW w:w="9601" w:type="dxa"/>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18"/>
                <w:u w:val="single"/>
              </w:rPr>
            </w:pPr>
            <w:r>
              <w:rPr>
                <w:rFonts w:ascii="Arial TUR" w:hAnsi="Arial TUR" w:cs="Arial TUR"/>
                <w:b/>
                <w:bCs/>
                <w:sz w:val="18"/>
                <w:u w:val="single"/>
              </w:rPr>
              <w:t>TÜRK EKONOMI BANKASI A.S.</w:t>
            </w:r>
          </w:p>
        </w:tc>
      </w:tr>
      <w:tr w:rsidR="00D076F0">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18"/>
                <w:u w:val="single"/>
              </w:rPr>
            </w:pPr>
            <w:r>
              <w:rPr>
                <w:rFonts w:ascii="Arial TUR" w:hAnsi="Arial TUR" w:cs="Arial TUR"/>
                <w:b/>
                <w:bCs/>
                <w:sz w:val="18"/>
                <w:u w:val="single"/>
              </w:rPr>
              <w:t>STATEMENTS OF OFF-BALANCE SHEET OBLIGATION (PARENT)</w:t>
            </w:r>
          </w:p>
        </w:tc>
      </w:tr>
      <w:tr w:rsidR="00D076F0">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18"/>
              </w:rPr>
            </w:pPr>
            <w:r>
              <w:rPr>
                <w:rFonts w:ascii="Arial TUR" w:hAnsi="Arial TUR" w:cs="Arial TUR"/>
                <w:b/>
                <w:bCs/>
                <w:sz w:val="18"/>
              </w:rPr>
              <w:t>(Currency--Billions of Turkish lir</w:t>
            </w:r>
            <w:r>
              <w:rPr>
                <w:rFonts w:ascii="Arial TUR" w:hAnsi="Arial TUR" w:cs="Arial TUR"/>
                <w:b/>
                <w:bCs/>
                <w:sz w:val="18"/>
              </w:rPr>
              <w:t>a)</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18"/>
              </w:rPr>
            </w:pPr>
            <w:r>
              <w:rPr>
                <w:rFonts w:ascii="Arial TUR" w:hAnsi="Arial TUR" w:cs="Arial TUR"/>
                <w:b/>
                <w:bCs/>
                <w:sz w:val="18"/>
              </w:rPr>
              <w:t>(Current Period)</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b/>
                <w:bCs/>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single" w:sz="8" w:space="0" w:color="0000FF"/>
              <w:right w:val="nil"/>
            </w:tcBorders>
            <w:noWrap/>
            <w:tcMar>
              <w:top w:w="15" w:type="dxa"/>
              <w:left w:w="15" w:type="dxa"/>
              <w:bottom w:w="0" w:type="dxa"/>
              <w:right w:w="15" w:type="dxa"/>
            </w:tcMar>
            <w:vAlign w:val="bottom"/>
          </w:tcPr>
          <w:p w:rsidR="00D076F0" w:rsidRDefault="002749EF">
            <w:pPr>
              <w:jc w:val="center"/>
              <w:rPr>
                <w:rFonts w:ascii="Arial TUR" w:eastAsia="Arial Unicode MS" w:hAnsi="Arial TUR" w:cs="Arial TUR"/>
                <w:b/>
                <w:bCs/>
                <w:sz w:val="18"/>
              </w:rPr>
            </w:pPr>
            <w:r>
              <w:rPr>
                <w:rFonts w:ascii="Arial TUR" w:hAnsi="Arial TUR" w:cs="Arial TUR"/>
                <w:b/>
                <w:bCs/>
                <w:sz w:val="18"/>
              </w:rPr>
              <w:t>( 30/06/2002)</w:t>
            </w:r>
          </w:p>
        </w:tc>
      </w:tr>
      <w:tr w:rsidR="00D076F0">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pStyle w:val="ABLOCKPARA9"/>
              <w:spacing w:line="240" w:lineRule="auto"/>
              <w:rPr>
                <w:rFonts w:ascii="Arial TUR" w:eastAsia="Arial Unicode MS" w:hAnsi="Arial TUR" w:cs="Arial TUR"/>
                <w:sz w:val="4"/>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I-</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18"/>
              </w:rPr>
            </w:pPr>
            <w:r>
              <w:rPr>
                <w:rFonts w:ascii="Arial TUR" w:hAnsi="Arial TUR" w:cs="Arial TUR"/>
                <w:b/>
                <w:bCs/>
                <w:sz w:val="18"/>
              </w:rPr>
              <w:t>GUARANTEES AND COLLATERALS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871,440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Letter of Guarentees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480,914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Acceptance Credits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36,167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Letter of Credits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338,929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En</w:t>
            </w:r>
            <w:r>
              <w:rPr>
                <w:rFonts w:ascii="Arial TUR" w:hAnsi="Arial TUR" w:cs="Arial TUR"/>
                <w:sz w:val="18"/>
              </w:rPr>
              <w:t>dorsements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Prefinancing Loans Without Letters of Guarantee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F.</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Receivables from Underwriting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G.</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Other Guarantees and Collaterals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15,430 </w:t>
            </w:r>
          </w:p>
        </w:tc>
      </w:tr>
      <w:tr w:rsidR="00D076F0">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II</w:t>
            </w:r>
            <w:r>
              <w:rPr>
                <w:rFonts w:ascii="Arial TUR" w:hAnsi="Arial TUR" w:cs="Arial TUR"/>
                <w:sz w:val="18"/>
              </w:rPr>
              <w:t>-</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18"/>
              </w:rPr>
            </w:pPr>
            <w:r>
              <w:rPr>
                <w:rFonts w:ascii="Arial TUR" w:hAnsi="Arial TUR" w:cs="Arial TUR"/>
                <w:b/>
                <w:bCs/>
                <w:sz w:val="18"/>
              </w:rPr>
              <w:t>IRREVOCABLE COMMITMENTS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257,085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Repurchase and Reverse Repurchase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1) Repurchase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2) Reverse Repurchase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pStyle w:val="EndnoteText"/>
              <w:rPr>
                <w:rFonts w:ascii="Arial TUR" w:eastAsia="Arial Unicode MS" w:hAnsi="Arial TUR" w:cs="Arial TUR"/>
                <w:sz w:val="18"/>
              </w:rPr>
            </w:pPr>
            <w:r>
              <w:rPr>
                <w:rFonts w:ascii="Arial TUR" w:hAnsi="Arial TUR" w:cs="Arial TUR"/>
                <w:sz w:val="18"/>
              </w:rPr>
              <w:t xml:space="preserve">                   </w:t>
            </w: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Commitments of Asset Purchase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Commitments of Deposit Trading</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Commitments of Share Capital Increase of Participation</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Commitments of Loan with Issu</w:t>
            </w:r>
            <w:r>
              <w:rPr>
                <w:rFonts w:ascii="Arial TUR" w:hAnsi="Arial TUR" w:cs="Arial TUR"/>
                <w:sz w:val="18"/>
              </w:rPr>
              <w:t>ance Guarantee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123,448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F.</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Commitments of Intermediary Activities for Share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Certificate Issuance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G.</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Commitments of Reserve Deposits Payments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ashed" w:sz="4" w:space="0" w:color="auto"/>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65,575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H.</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Co</w:t>
            </w:r>
            <w:r>
              <w:rPr>
                <w:rFonts w:ascii="Arial TUR" w:hAnsi="Arial TUR" w:cs="Arial TUR"/>
                <w:sz w:val="18"/>
              </w:rPr>
              <w:t>mmitments of Credit Card Limits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68,062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I.</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Other</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III-</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18"/>
              </w:rPr>
            </w:pPr>
            <w:r>
              <w:rPr>
                <w:rFonts w:ascii="Arial TUR" w:hAnsi="Arial TUR" w:cs="Arial TUR"/>
                <w:b/>
                <w:bCs/>
                <w:sz w:val="18"/>
              </w:rPr>
              <w:t>REVOCABLE COMMITMENTS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Revocable Loan Assignment Commitments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Others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w:t>
            </w:r>
            <w:r>
              <w:rPr>
                <w:rFonts w:ascii="Arial TUR" w:hAnsi="Arial TUR" w:cs="Arial TUR"/>
                <w:sz w:val="18"/>
              </w:rPr>
              <w:t xml:space="preserve">   - </w:t>
            </w:r>
          </w:p>
        </w:tc>
      </w:tr>
      <w:tr w:rsidR="00D076F0">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IV-</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18"/>
              </w:rPr>
            </w:pPr>
            <w:r>
              <w:rPr>
                <w:rFonts w:ascii="Arial TUR" w:hAnsi="Arial TUR" w:cs="Arial TUR"/>
                <w:b/>
                <w:bCs/>
                <w:sz w:val="18"/>
              </w:rPr>
              <w:t>FOREIGN CURRENCY AND INTEREST RELATED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721,725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A.</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Forward Foreign Currency Purchase-Sales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467,462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a) Forward Foreign Currency Purchase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234,224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b) Forward Foreign Currency Sales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233,238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B.</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Money and Interest Swaps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155,776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a) Money Swaps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77,067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b) Interest Swaps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78,709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C.</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Futures Transations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D.</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Futures Interest Purchase-Sales Transactions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a) Future Interest Purchase Tnarsactions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b) Future Interest Sales Transactions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w:t>
            </w:r>
            <w:r>
              <w:rPr>
                <w:rFonts w:ascii="Arial TUR" w:hAnsi="Arial TUR" w:cs="Arial TUR"/>
                <w:sz w:val="18"/>
              </w:rPr>
              <w:t xml:space="preserve">-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E.</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Money and Interest Options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a) Money Buy Options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b) Money Sell Options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c) Interest Buy Options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d) Int</w:t>
            </w:r>
            <w:r>
              <w:rPr>
                <w:rFonts w:ascii="Arial TUR" w:hAnsi="Arial TUR" w:cs="Arial TUR"/>
                <w:sz w:val="18"/>
              </w:rPr>
              <w:t xml:space="preserve">erest Sell Options </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F.</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Others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dotted" w:sz="4" w:space="0" w:color="0000FF"/>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98,487 </w:t>
            </w:r>
          </w:p>
        </w:tc>
      </w:tr>
      <w:tr w:rsidR="00D076F0">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4"/>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V-</w:t>
            </w: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18"/>
              </w:rPr>
            </w:pPr>
            <w:r>
              <w:rPr>
                <w:rFonts w:ascii="Arial TUR" w:hAnsi="Arial TUR" w:cs="Arial TUR"/>
                <w:b/>
                <w:bCs/>
                <w:sz w:val="18"/>
              </w:rPr>
              <w:t>OTHER OFF BALANCE SHEET ACCOUNTS</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1,285,928 </w:t>
            </w:r>
          </w:p>
        </w:tc>
      </w:tr>
      <w:tr w:rsidR="00D076F0">
        <w:trPr>
          <w:trHeight w:val="255"/>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pStyle w:val="ABLOCKPARA9"/>
              <w:spacing w:line="240" w:lineRule="auto"/>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r>
      <w:tr w:rsidR="00D076F0">
        <w:trPr>
          <w:trHeight w:val="270"/>
        </w:trPr>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b/>
                <w:bCs/>
                <w:sz w:val="18"/>
              </w:rPr>
            </w:pPr>
            <w:r>
              <w:rPr>
                <w:rFonts w:ascii="Arial TUR" w:hAnsi="Arial TUR" w:cs="Arial TUR"/>
                <w:b/>
                <w:bCs/>
                <w:sz w:val="18"/>
              </w:rPr>
              <w:t>TOTAL</w:t>
            </w: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nil"/>
              <w:right w:val="nil"/>
            </w:tcBorders>
            <w:noWrap/>
            <w:tcMar>
              <w:top w:w="15" w:type="dxa"/>
              <w:left w:w="15" w:type="dxa"/>
              <w:bottom w:w="0" w:type="dxa"/>
              <w:right w:w="15" w:type="dxa"/>
            </w:tcMar>
            <w:vAlign w:val="bottom"/>
          </w:tcPr>
          <w:p w:rsidR="00D076F0" w:rsidRDefault="00D076F0">
            <w:pPr>
              <w:rPr>
                <w:rFonts w:ascii="Arial TUR" w:eastAsia="Arial Unicode MS" w:hAnsi="Arial TUR" w:cs="Arial TUR"/>
                <w:sz w:val="18"/>
              </w:rPr>
            </w:pPr>
          </w:p>
        </w:tc>
        <w:tc>
          <w:tcPr>
            <w:tcW w:w="0" w:type="auto"/>
            <w:tcBorders>
              <w:top w:val="nil"/>
              <w:left w:val="nil"/>
              <w:bottom w:val="single" w:sz="8" w:space="0" w:color="FF0000"/>
              <w:right w:val="nil"/>
            </w:tcBorders>
            <w:noWrap/>
            <w:tcMar>
              <w:top w:w="15" w:type="dxa"/>
              <w:left w:w="15" w:type="dxa"/>
              <w:bottom w:w="0" w:type="dxa"/>
              <w:right w:w="15" w:type="dxa"/>
            </w:tcMar>
            <w:vAlign w:val="bottom"/>
          </w:tcPr>
          <w:p w:rsidR="00D076F0" w:rsidRDefault="002749EF">
            <w:pPr>
              <w:rPr>
                <w:rFonts w:ascii="Arial TUR" w:eastAsia="Arial Unicode MS" w:hAnsi="Arial TUR" w:cs="Arial TUR"/>
                <w:sz w:val="18"/>
              </w:rPr>
            </w:pPr>
            <w:r>
              <w:rPr>
                <w:rFonts w:ascii="Arial TUR" w:hAnsi="Arial TUR" w:cs="Arial TUR"/>
                <w:sz w:val="18"/>
              </w:rPr>
              <w:t xml:space="preserve">          3,136,178 </w:t>
            </w:r>
          </w:p>
        </w:tc>
      </w:tr>
    </w:tbl>
    <w:p w:rsidR="00D076F0" w:rsidRDefault="002749EF">
      <w:pPr>
        <w:pStyle w:val="xl26"/>
        <w:spacing w:before="0" w:beforeAutospacing="0" w:after="0" w:afterAutospacing="0"/>
        <w:rPr>
          <w:rFonts w:ascii="Arial" w:eastAsia="Times New Roman" w:hAnsi="Arial" w:cs="Times New Roman"/>
          <w:szCs w:val="20"/>
        </w:rPr>
      </w:pPr>
      <w:r>
        <w:rPr>
          <w:rFonts w:ascii="Arial" w:eastAsia="Times New Roman" w:hAnsi="Arial" w:cs="Times New Roman"/>
          <w:szCs w:val="20"/>
        </w:rPr>
        <w:br w:type="page"/>
      </w:r>
    </w:p>
    <w:p w:rsidR="00D076F0" w:rsidRDefault="002749EF">
      <w:pPr>
        <w:tabs>
          <w:tab w:val="left" w:pos="576"/>
          <w:tab w:val="left" w:pos="864"/>
          <w:tab w:val="left" w:pos="1584"/>
          <w:tab w:val="left" w:pos="2016"/>
          <w:tab w:val="left" w:pos="4032"/>
        </w:tabs>
        <w:ind w:right="14"/>
        <w:jc w:val="center"/>
      </w:pPr>
      <w:r>
        <w:t xml:space="preserve"> (CONVENIENCE TRANSLATION OF A REPORT AND FINANCIAL STATEMENTS O</w:t>
      </w:r>
      <w:r>
        <w:t>RIGINALLY ISSUED IN TURKISH – SEE NOTE 9)</w:t>
      </w:r>
    </w:p>
    <w:p w:rsidR="00D076F0" w:rsidRDefault="00D076F0">
      <w:pPr>
        <w:tabs>
          <w:tab w:val="left" w:pos="864"/>
          <w:tab w:val="left" w:pos="2160"/>
          <w:tab w:val="left" w:pos="8280"/>
        </w:tabs>
        <w:ind w:right="14"/>
        <w:jc w:val="center"/>
      </w:pPr>
    </w:p>
    <w:p w:rsidR="00D076F0" w:rsidRDefault="002749EF">
      <w:pPr>
        <w:tabs>
          <w:tab w:val="left" w:pos="864"/>
          <w:tab w:val="left" w:pos="2160"/>
          <w:tab w:val="left" w:pos="8280"/>
        </w:tabs>
        <w:ind w:right="14"/>
        <w:jc w:val="center"/>
        <w:rPr>
          <w:b/>
          <w:u w:val="single"/>
        </w:rPr>
      </w:pPr>
      <w:r>
        <w:rPr>
          <w:b/>
          <w:u w:val="single"/>
        </w:rPr>
        <w:t>TÜRK EKONOMİ BANKASI ANONİM ŞİRKETİ</w:t>
      </w:r>
    </w:p>
    <w:p w:rsidR="00D076F0" w:rsidRDefault="00D076F0">
      <w:pPr>
        <w:tabs>
          <w:tab w:val="left" w:pos="864"/>
          <w:tab w:val="left" w:pos="2160"/>
          <w:tab w:val="left" w:pos="8280"/>
        </w:tabs>
        <w:ind w:right="14"/>
        <w:jc w:val="center"/>
        <w:rPr>
          <w:b/>
          <w:u w:val="single"/>
        </w:rPr>
      </w:pPr>
    </w:p>
    <w:p w:rsidR="00D076F0" w:rsidRDefault="002749EF">
      <w:pPr>
        <w:tabs>
          <w:tab w:val="left" w:pos="864"/>
          <w:tab w:val="left" w:pos="2160"/>
          <w:tab w:val="left" w:pos="8280"/>
        </w:tabs>
        <w:ind w:right="14"/>
        <w:jc w:val="center"/>
        <w:rPr>
          <w:b/>
          <w:u w:val="single"/>
        </w:rPr>
      </w:pPr>
      <w:r>
        <w:rPr>
          <w:b/>
          <w:u w:val="single"/>
        </w:rPr>
        <w:t xml:space="preserve">FOOTNOTES TO CONSOLIDATED FINANCIAL STATEMENTS – </w:t>
      </w:r>
    </w:p>
    <w:p w:rsidR="00D076F0" w:rsidRDefault="00D076F0">
      <w:pPr>
        <w:tabs>
          <w:tab w:val="left" w:pos="864"/>
          <w:tab w:val="left" w:pos="2160"/>
          <w:tab w:val="left" w:pos="8280"/>
        </w:tabs>
        <w:ind w:right="14"/>
        <w:jc w:val="center"/>
        <w:rPr>
          <w:b/>
          <w:u w:val="single"/>
        </w:rPr>
      </w:pPr>
    </w:p>
    <w:p w:rsidR="00D076F0" w:rsidRDefault="002749EF">
      <w:pPr>
        <w:tabs>
          <w:tab w:val="left" w:pos="864"/>
          <w:tab w:val="left" w:pos="2160"/>
          <w:tab w:val="left" w:pos="8280"/>
        </w:tabs>
        <w:ind w:right="14"/>
        <w:jc w:val="center"/>
        <w:rPr>
          <w:b/>
          <w:u w:val="single"/>
        </w:rPr>
      </w:pPr>
      <w:r>
        <w:rPr>
          <w:b/>
          <w:u w:val="single"/>
        </w:rPr>
        <w:t xml:space="preserve">JUNE 30, 2002 </w:t>
      </w:r>
    </w:p>
    <w:p w:rsidR="00D076F0" w:rsidRDefault="00D076F0">
      <w:pPr>
        <w:tabs>
          <w:tab w:val="left" w:pos="864"/>
          <w:tab w:val="left" w:pos="2160"/>
          <w:tab w:val="left" w:pos="8280"/>
        </w:tabs>
        <w:ind w:right="14"/>
        <w:jc w:val="center"/>
      </w:pPr>
    </w:p>
    <w:p w:rsidR="00D076F0" w:rsidRDefault="002749EF">
      <w:pPr>
        <w:tabs>
          <w:tab w:val="left" w:pos="864"/>
          <w:tab w:val="left" w:pos="2160"/>
          <w:tab w:val="left" w:pos="8280"/>
        </w:tabs>
        <w:ind w:right="14"/>
        <w:jc w:val="center"/>
      </w:pPr>
      <w:r>
        <w:t xml:space="preserve">(Currency – Billions of Turkish lira in equivalent purchasing power </w:t>
      </w:r>
    </w:p>
    <w:p w:rsidR="00D076F0" w:rsidRDefault="002749EF">
      <w:pPr>
        <w:tabs>
          <w:tab w:val="left" w:pos="864"/>
          <w:tab w:val="left" w:pos="2160"/>
          <w:tab w:val="left" w:pos="8280"/>
        </w:tabs>
        <w:ind w:right="14"/>
        <w:jc w:val="center"/>
      </w:pPr>
      <w:r>
        <w:t xml:space="preserve">at June 30, 2002 unless otherwise </w:t>
      </w:r>
      <w:r>
        <w:t>indicated)</w:t>
      </w:r>
    </w:p>
    <w:p w:rsidR="00D076F0" w:rsidRDefault="00D076F0">
      <w:pPr>
        <w:tabs>
          <w:tab w:val="left" w:pos="864"/>
          <w:tab w:val="left" w:pos="2160"/>
          <w:tab w:val="left" w:pos="8280"/>
        </w:tabs>
        <w:ind w:right="14"/>
      </w:pPr>
    </w:p>
    <w:p w:rsidR="00D076F0" w:rsidRDefault="002749EF">
      <w:pPr>
        <w:pStyle w:val="BodyText"/>
        <w:ind w:right="14"/>
        <w:rPr>
          <w:b/>
          <w:u w:val="single"/>
        </w:rPr>
      </w:pPr>
      <w:r>
        <w:rPr>
          <w:b/>
          <w:u w:val="single"/>
        </w:rPr>
        <w:t>(1)  INFORMATION ABOUT CONSOLIDATED FINANCIAL INSTITUTIONS:</w:t>
      </w:r>
    </w:p>
    <w:p w:rsidR="00D076F0" w:rsidRDefault="00D076F0">
      <w:pPr>
        <w:tabs>
          <w:tab w:val="left" w:pos="864"/>
          <w:tab w:val="left" w:pos="2160"/>
          <w:tab w:val="left" w:pos="8280"/>
        </w:tabs>
        <w:ind w:right="14"/>
        <w:jc w:val="both"/>
      </w:pPr>
    </w:p>
    <w:p w:rsidR="00D076F0" w:rsidRDefault="002749EF">
      <w:pPr>
        <w:tabs>
          <w:tab w:val="left" w:pos="864"/>
          <w:tab w:val="left" w:pos="2160"/>
          <w:tab w:val="left" w:pos="8280"/>
        </w:tabs>
        <w:ind w:right="-346"/>
        <w:jc w:val="both"/>
      </w:pPr>
      <w:r>
        <w:t>The financial institutions to be consolidated have been determined in accordance with the Communique on “Procedures and Basis for Preparation and Announcement of Consolidated Financia</w:t>
      </w:r>
      <w:r>
        <w:t>l Statements for Banks” (the Communique) published by the Undersecretariat to the Turkish Republic Prime Ministry of Treasury in the Official Gazette number 22985 dated May 10, 1997 and related circulars.  Accordingly, considering direct and/or indirect sh</w:t>
      </w:r>
      <w:r>
        <w:t>areholding and control power, the accompanying consolidated financial statements include the financial statements of Türk Ekonomi Bankası A.Ş. and the financial statements of the following subsidiaries which are owned/controlled by this bank, namely TEB Fi</w:t>
      </w:r>
      <w:r>
        <w:t>nansal Kiralama A.Ş. (TEB Finansal), TEB Yatırım Menkul Değerler A.Ş. (TEB Menkul), TEB Factoring A.Ş. (TEB Factoring), TEB Sigorta A.Ş. (TEB Sigorta), TEB Portföy Yönetimi A.Ş. (TEB Portföy), The Economy Bank N.V. (Economy Bank), and Petek International H</w:t>
      </w:r>
      <w:r>
        <w:t xml:space="preserve">oldings B.V. (Petek International) which were consolidated by full consolidation method. </w:t>
      </w:r>
    </w:p>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346"/>
        <w:jc w:val="both"/>
      </w:pPr>
      <w:r>
        <w:t>The parent and the consolidated subsidiaries will be referred to as the Bank for the purposes of the accompanying financial statements and this report.</w:t>
      </w:r>
    </w:p>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346"/>
        <w:jc w:val="both"/>
      </w:pPr>
      <w:r>
        <w:t xml:space="preserve">Detailed </w:t>
      </w:r>
      <w:r>
        <w:t>information about consolidated subsidiaries, participations and other subsidiaries are as follows:</w:t>
      </w:r>
    </w:p>
    <w:tbl>
      <w:tblPr>
        <w:tblW w:w="0" w:type="auto"/>
        <w:tblInd w:w="198" w:type="dxa"/>
        <w:tblLayout w:type="fixed"/>
        <w:tblLook w:val="0000" w:firstRow="0" w:lastRow="0" w:firstColumn="0" w:lastColumn="0" w:noHBand="0" w:noVBand="0"/>
      </w:tblPr>
      <w:tblGrid>
        <w:gridCol w:w="2610"/>
        <w:gridCol w:w="236"/>
        <w:gridCol w:w="236"/>
        <w:gridCol w:w="428"/>
        <w:gridCol w:w="663"/>
        <w:gridCol w:w="270"/>
        <w:gridCol w:w="1737"/>
        <w:gridCol w:w="270"/>
        <w:gridCol w:w="1413"/>
        <w:gridCol w:w="270"/>
        <w:gridCol w:w="1080"/>
      </w:tblGrid>
      <w:tr w:rsidR="00D076F0">
        <w:trPr>
          <w:cantSplit/>
        </w:trPr>
        <w:tc>
          <w:tcPr>
            <w:tcW w:w="2610" w:type="dxa"/>
          </w:tcPr>
          <w:p w:rsidR="00D076F0" w:rsidRDefault="00D076F0">
            <w:pPr>
              <w:ind w:hanging="162"/>
              <w:jc w:val="center"/>
              <w:rPr>
                <w:sz w:val="16"/>
              </w:rPr>
            </w:pPr>
          </w:p>
        </w:tc>
        <w:tc>
          <w:tcPr>
            <w:tcW w:w="236" w:type="dxa"/>
          </w:tcPr>
          <w:p w:rsidR="00D076F0" w:rsidRDefault="00D076F0">
            <w:pPr>
              <w:rPr>
                <w:sz w:val="16"/>
              </w:rPr>
            </w:pPr>
          </w:p>
        </w:tc>
        <w:tc>
          <w:tcPr>
            <w:tcW w:w="236" w:type="dxa"/>
            <w:tcBorders>
              <w:bottom w:val="single" w:sz="4" w:space="0" w:color="auto"/>
            </w:tcBorders>
          </w:tcPr>
          <w:p w:rsidR="00D076F0" w:rsidRDefault="00D076F0">
            <w:pPr>
              <w:jc w:val="center"/>
              <w:rPr>
                <w:sz w:val="16"/>
              </w:rPr>
            </w:pPr>
          </w:p>
        </w:tc>
        <w:tc>
          <w:tcPr>
            <w:tcW w:w="428" w:type="dxa"/>
            <w:tcBorders>
              <w:bottom w:val="single" w:sz="4" w:space="0" w:color="auto"/>
            </w:tcBorders>
          </w:tcPr>
          <w:p w:rsidR="00D076F0" w:rsidRDefault="00D076F0">
            <w:pPr>
              <w:jc w:val="center"/>
              <w:rPr>
                <w:sz w:val="16"/>
              </w:rPr>
            </w:pPr>
          </w:p>
        </w:tc>
        <w:tc>
          <w:tcPr>
            <w:tcW w:w="4353" w:type="dxa"/>
            <w:gridSpan w:val="5"/>
            <w:tcBorders>
              <w:bottom w:val="single" w:sz="4" w:space="0" w:color="auto"/>
            </w:tcBorders>
          </w:tcPr>
          <w:p w:rsidR="00D076F0" w:rsidRDefault="002749EF">
            <w:pPr>
              <w:jc w:val="center"/>
              <w:rPr>
                <w:sz w:val="16"/>
              </w:rPr>
            </w:pPr>
            <w:r>
              <w:rPr>
                <w:sz w:val="16"/>
              </w:rPr>
              <w:t>June 30, 2002</w:t>
            </w:r>
          </w:p>
        </w:tc>
        <w:tc>
          <w:tcPr>
            <w:tcW w:w="1350" w:type="dxa"/>
            <w:gridSpan w:val="2"/>
            <w:tcBorders>
              <w:bottom w:val="single" w:sz="4" w:space="0" w:color="auto"/>
            </w:tcBorders>
          </w:tcPr>
          <w:p w:rsidR="00D076F0" w:rsidRDefault="00D076F0">
            <w:pPr>
              <w:jc w:val="center"/>
              <w:rPr>
                <w:sz w:val="16"/>
              </w:rPr>
            </w:pPr>
          </w:p>
        </w:tc>
      </w:tr>
      <w:tr w:rsidR="00D076F0">
        <w:trPr>
          <w:cantSplit/>
        </w:trPr>
        <w:tc>
          <w:tcPr>
            <w:tcW w:w="2610" w:type="dxa"/>
            <w:tcBorders>
              <w:bottom w:val="single" w:sz="4" w:space="0" w:color="auto"/>
            </w:tcBorders>
          </w:tcPr>
          <w:p w:rsidR="00D076F0" w:rsidRDefault="00D076F0">
            <w:pPr>
              <w:ind w:left="162" w:hanging="162"/>
              <w:jc w:val="center"/>
              <w:rPr>
                <w:sz w:val="16"/>
              </w:rPr>
            </w:pPr>
          </w:p>
          <w:p w:rsidR="00D076F0" w:rsidRDefault="002749EF">
            <w:pPr>
              <w:ind w:left="162" w:hanging="162"/>
              <w:jc w:val="center"/>
              <w:rPr>
                <w:sz w:val="16"/>
              </w:rPr>
            </w:pPr>
            <w:r>
              <w:rPr>
                <w:sz w:val="16"/>
              </w:rPr>
              <w:t>Name</w:t>
            </w:r>
          </w:p>
        </w:tc>
        <w:tc>
          <w:tcPr>
            <w:tcW w:w="236" w:type="dxa"/>
          </w:tcPr>
          <w:p w:rsidR="00D076F0" w:rsidRDefault="00D076F0">
            <w:pPr>
              <w:rPr>
                <w:sz w:val="16"/>
              </w:rPr>
            </w:pPr>
          </w:p>
        </w:tc>
        <w:tc>
          <w:tcPr>
            <w:tcW w:w="1327" w:type="dxa"/>
            <w:gridSpan w:val="3"/>
            <w:tcBorders>
              <w:bottom w:val="single" w:sz="4" w:space="0" w:color="auto"/>
            </w:tcBorders>
          </w:tcPr>
          <w:p w:rsidR="00D076F0" w:rsidRDefault="002749EF">
            <w:pPr>
              <w:jc w:val="center"/>
              <w:rPr>
                <w:sz w:val="16"/>
              </w:rPr>
            </w:pPr>
            <w:r>
              <w:rPr>
                <w:sz w:val="16"/>
              </w:rPr>
              <w:t>Head</w:t>
            </w:r>
          </w:p>
          <w:p w:rsidR="00D076F0" w:rsidRDefault="002749EF">
            <w:pPr>
              <w:jc w:val="center"/>
              <w:rPr>
                <w:sz w:val="16"/>
              </w:rPr>
            </w:pPr>
            <w:r>
              <w:rPr>
                <w:sz w:val="16"/>
              </w:rPr>
              <w:t>Quarters</w:t>
            </w:r>
          </w:p>
        </w:tc>
        <w:tc>
          <w:tcPr>
            <w:tcW w:w="270" w:type="dxa"/>
          </w:tcPr>
          <w:p w:rsidR="00D076F0" w:rsidRDefault="00D076F0">
            <w:pPr>
              <w:jc w:val="center"/>
              <w:rPr>
                <w:sz w:val="16"/>
              </w:rPr>
            </w:pPr>
          </w:p>
        </w:tc>
        <w:tc>
          <w:tcPr>
            <w:tcW w:w="1737" w:type="dxa"/>
            <w:tcBorders>
              <w:bottom w:val="single" w:sz="4" w:space="0" w:color="auto"/>
            </w:tcBorders>
          </w:tcPr>
          <w:p w:rsidR="00D076F0" w:rsidRDefault="002749EF">
            <w:pPr>
              <w:jc w:val="center"/>
              <w:rPr>
                <w:sz w:val="16"/>
              </w:rPr>
            </w:pPr>
            <w:r>
              <w:rPr>
                <w:sz w:val="16"/>
              </w:rPr>
              <w:t>Share</w:t>
            </w:r>
          </w:p>
          <w:p w:rsidR="00D076F0" w:rsidRDefault="002749EF">
            <w:pPr>
              <w:jc w:val="center"/>
              <w:rPr>
                <w:sz w:val="16"/>
              </w:rPr>
            </w:pPr>
            <w:r>
              <w:rPr>
                <w:sz w:val="16"/>
              </w:rPr>
              <w:t>Capital</w:t>
            </w:r>
          </w:p>
          <w:p w:rsidR="00D076F0" w:rsidRDefault="002749EF">
            <w:pPr>
              <w:jc w:val="center"/>
              <w:rPr>
                <w:sz w:val="16"/>
              </w:rPr>
            </w:pPr>
            <w:r>
              <w:rPr>
                <w:sz w:val="16"/>
              </w:rPr>
              <w:t>(in Historical Terms)</w:t>
            </w:r>
          </w:p>
        </w:tc>
        <w:tc>
          <w:tcPr>
            <w:tcW w:w="270" w:type="dxa"/>
          </w:tcPr>
          <w:p w:rsidR="00D076F0" w:rsidRDefault="00D076F0">
            <w:pPr>
              <w:jc w:val="center"/>
              <w:rPr>
                <w:sz w:val="16"/>
              </w:rPr>
            </w:pPr>
          </w:p>
        </w:tc>
        <w:tc>
          <w:tcPr>
            <w:tcW w:w="1413" w:type="dxa"/>
            <w:tcBorders>
              <w:bottom w:val="single" w:sz="4" w:space="0" w:color="auto"/>
            </w:tcBorders>
          </w:tcPr>
          <w:p w:rsidR="00D076F0" w:rsidRDefault="002749EF">
            <w:pPr>
              <w:jc w:val="center"/>
              <w:rPr>
                <w:sz w:val="16"/>
              </w:rPr>
            </w:pPr>
            <w:r>
              <w:rPr>
                <w:sz w:val="16"/>
              </w:rPr>
              <w:t>Effect of Inflation Accounting on Share Capital</w:t>
            </w:r>
          </w:p>
        </w:tc>
        <w:tc>
          <w:tcPr>
            <w:tcW w:w="270" w:type="dxa"/>
          </w:tcPr>
          <w:p w:rsidR="00D076F0" w:rsidRDefault="00D076F0">
            <w:pPr>
              <w:jc w:val="center"/>
              <w:rPr>
                <w:sz w:val="16"/>
              </w:rPr>
            </w:pPr>
          </w:p>
        </w:tc>
        <w:tc>
          <w:tcPr>
            <w:tcW w:w="1080" w:type="dxa"/>
            <w:tcBorders>
              <w:bottom w:val="single" w:sz="4" w:space="0" w:color="auto"/>
            </w:tcBorders>
          </w:tcPr>
          <w:p w:rsidR="00D076F0" w:rsidRDefault="002749EF">
            <w:pPr>
              <w:jc w:val="center"/>
              <w:rPr>
                <w:sz w:val="16"/>
              </w:rPr>
            </w:pPr>
            <w:r>
              <w:rPr>
                <w:sz w:val="16"/>
              </w:rPr>
              <w:t>Number of</w:t>
            </w:r>
          </w:p>
          <w:p w:rsidR="00D076F0" w:rsidRDefault="002749EF">
            <w:pPr>
              <w:jc w:val="center"/>
              <w:rPr>
                <w:sz w:val="16"/>
              </w:rPr>
            </w:pPr>
            <w:r>
              <w:rPr>
                <w:sz w:val="16"/>
              </w:rPr>
              <w:t>Personnel</w:t>
            </w:r>
          </w:p>
        </w:tc>
      </w:tr>
      <w:tr w:rsidR="00D076F0">
        <w:trPr>
          <w:cantSplit/>
        </w:trPr>
        <w:tc>
          <w:tcPr>
            <w:tcW w:w="2610" w:type="dxa"/>
          </w:tcPr>
          <w:p w:rsidR="00D076F0" w:rsidRDefault="00D076F0">
            <w:pPr>
              <w:ind w:hanging="162"/>
              <w:rPr>
                <w:sz w:val="16"/>
              </w:rPr>
            </w:pPr>
          </w:p>
        </w:tc>
        <w:tc>
          <w:tcPr>
            <w:tcW w:w="236" w:type="dxa"/>
          </w:tcPr>
          <w:p w:rsidR="00D076F0" w:rsidRDefault="00D076F0">
            <w:pPr>
              <w:rPr>
                <w:sz w:val="16"/>
              </w:rPr>
            </w:pPr>
          </w:p>
        </w:tc>
        <w:tc>
          <w:tcPr>
            <w:tcW w:w="1327" w:type="dxa"/>
            <w:gridSpan w:val="3"/>
          </w:tcPr>
          <w:p w:rsidR="00D076F0" w:rsidRDefault="00D076F0">
            <w:pPr>
              <w:jc w:val="right"/>
              <w:rPr>
                <w:sz w:val="16"/>
              </w:rPr>
            </w:pPr>
          </w:p>
        </w:tc>
        <w:tc>
          <w:tcPr>
            <w:tcW w:w="270" w:type="dxa"/>
          </w:tcPr>
          <w:p w:rsidR="00D076F0" w:rsidRDefault="00D076F0">
            <w:pPr>
              <w:jc w:val="right"/>
              <w:rPr>
                <w:sz w:val="16"/>
              </w:rPr>
            </w:pPr>
          </w:p>
        </w:tc>
        <w:tc>
          <w:tcPr>
            <w:tcW w:w="1737" w:type="dxa"/>
          </w:tcPr>
          <w:p w:rsidR="00D076F0" w:rsidRDefault="00D076F0">
            <w:pPr>
              <w:jc w:val="right"/>
              <w:rPr>
                <w:sz w:val="16"/>
              </w:rPr>
            </w:pPr>
          </w:p>
        </w:tc>
        <w:tc>
          <w:tcPr>
            <w:tcW w:w="270" w:type="dxa"/>
          </w:tcPr>
          <w:p w:rsidR="00D076F0" w:rsidRDefault="00D076F0">
            <w:pPr>
              <w:jc w:val="right"/>
              <w:rPr>
                <w:sz w:val="16"/>
              </w:rPr>
            </w:pPr>
          </w:p>
        </w:tc>
        <w:tc>
          <w:tcPr>
            <w:tcW w:w="1413" w:type="dxa"/>
          </w:tcPr>
          <w:p w:rsidR="00D076F0" w:rsidRDefault="00D076F0">
            <w:pPr>
              <w:jc w:val="right"/>
              <w:rPr>
                <w:sz w:val="16"/>
              </w:rPr>
            </w:pPr>
          </w:p>
        </w:tc>
        <w:tc>
          <w:tcPr>
            <w:tcW w:w="270" w:type="dxa"/>
          </w:tcPr>
          <w:p w:rsidR="00D076F0" w:rsidRDefault="00D076F0">
            <w:pPr>
              <w:jc w:val="right"/>
              <w:rPr>
                <w:sz w:val="16"/>
              </w:rPr>
            </w:pPr>
          </w:p>
        </w:tc>
        <w:tc>
          <w:tcPr>
            <w:tcW w:w="1080" w:type="dxa"/>
          </w:tcPr>
          <w:p w:rsidR="00D076F0" w:rsidRDefault="00D076F0">
            <w:pPr>
              <w:jc w:val="right"/>
              <w:rPr>
                <w:sz w:val="16"/>
              </w:rPr>
            </w:pPr>
          </w:p>
        </w:tc>
      </w:tr>
      <w:tr w:rsidR="00D076F0">
        <w:trPr>
          <w:cantSplit/>
        </w:trPr>
        <w:tc>
          <w:tcPr>
            <w:tcW w:w="2610" w:type="dxa"/>
          </w:tcPr>
          <w:p w:rsidR="00D076F0" w:rsidRDefault="002749EF">
            <w:pPr>
              <w:ind w:left="162" w:hanging="162"/>
              <w:rPr>
                <w:sz w:val="16"/>
              </w:rPr>
            </w:pPr>
            <w:r>
              <w:rPr>
                <w:sz w:val="16"/>
              </w:rPr>
              <w:t xml:space="preserve">TEB Menkul </w:t>
            </w:r>
          </w:p>
        </w:tc>
        <w:tc>
          <w:tcPr>
            <w:tcW w:w="236" w:type="dxa"/>
          </w:tcPr>
          <w:p w:rsidR="00D076F0" w:rsidRDefault="00D076F0">
            <w:pPr>
              <w:rPr>
                <w:sz w:val="16"/>
              </w:rPr>
            </w:pPr>
          </w:p>
        </w:tc>
        <w:tc>
          <w:tcPr>
            <w:tcW w:w="1327" w:type="dxa"/>
            <w:gridSpan w:val="3"/>
          </w:tcPr>
          <w:p w:rsidR="00D076F0" w:rsidRDefault="002749EF">
            <w:pPr>
              <w:pStyle w:val="EnvelopeReturn"/>
              <w:jc w:val="center"/>
              <w:rPr>
                <w:sz w:val="16"/>
              </w:rPr>
            </w:pPr>
            <w:r>
              <w:rPr>
                <w:sz w:val="16"/>
              </w:rPr>
              <w:t>İstanbul</w:t>
            </w:r>
          </w:p>
        </w:tc>
        <w:tc>
          <w:tcPr>
            <w:tcW w:w="270" w:type="dxa"/>
          </w:tcPr>
          <w:p w:rsidR="00D076F0" w:rsidRDefault="00D076F0">
            <w:pPr>
              <w:jc w:val="right"/>
              <w:rPr>
                <w:sz w:val="16"/>
              </w:rPr>
            </w:pPr>
          </w:p>
        </w:tc>
        <w:tc>
          <w:tcPr>
            <w:tcW w:w="1737" w:type="dxa"/>
          </w:tcPr>
          <w:p w:rsidR="00D076F0" w:rsidRDefault="002749EF">
            <w:pPr>
              <w:pStyle w:val="EnvelopeReturn"/>
              <w:jc w:val="right"/>
              <w:rPr>
                <w:sz w:val="16"/>
              </w:rPr>
            </w:pPr>
            <w:r>
              <w:rPr>
                <w:sz w:val="16"/>
              </w:rPr>
              <w:t>10,000</w:t>
            </w:r>
          </w:p>
        </w:tc>
        <w:tc>
          <w:tcPr>
            <w:tcW w:w="270" w:type="dxa"/>
          </w:tcPr>
          <w:p w:rsidR="00D076F0" w:rsidRDefault="00D076F0">
            <w:pPr>
              <w:jc w:val="right"/>
              <w:rPr>
                <w:sz w:val="16"/>
              </w:rPr>
            </w:pPr>
          </w:p>
        </w:tc>
        <w:tc>
          <w:tcPr>
            <w:tcW w:w="1413" w:type="dxa"/>
          </w:tcPr>
          <w:p w:rsidR="00D076F0" w:rsidRDefault="002749EF">
            <w:pPr>
              <w:jc w:val="right"/>
              <w:rPr>
                <w:sz w:val="16"/>
              </w:rPr>
            </w:pPr>
            <w:r>
              <w:rPr>
                <w:sz w:val="16"/>
              </w:rPr>
              <w:t>10,806</w:t>
            </w:r>
          </w:p>
        </w:tc>
        <w:tc>
          <w:tcPr>
            <w:tcW w:w="270" w:type="dxa"/>
          </w:tcPr>
          <w:p w:rsidR="00D076F0" w:rsidRDefault="00D076F0">
            <w:pPr>
              <w:jc w:val="right"/>
              <w:rPr>
                <w:sz w:val="16"/>
              </w:rPr>
            </w:pPr>
          </w:p>
        </w:tc>
        <w:tc>
          <w:tcPr>
            <w:tcW w:w="1080" w:type="dxa"/>
          </w:tcPr>
          <w:p w:rsidR="00D076F0" w:rsidRDefault="002749EF">
            <w:pPr>
              <w:jc w:val="right"/>
              <w:rPr>
                <w:sz w:val="16"/>
              </w:rPr>
            </w:pPr>
            <w:r>
              <w:rPr>
                <w:sz w:val="16"/>
              </w:rPr>
              <w:t>101</w:t>
            </w:r>
          </w:p>
        </w:tc>
      </w:tr>
      <w:tr w:rsidR="00D076F0">
        <w:trPr>
          <w:cantSplit/>
        </w:trPr>
        <w:tc>
          <w:tcPr>
            <w:tcW w:w="2610" w:type="dxa"/>
          </w:tcPr>
          <w:p w:rsidR="00D076F0" w:rsidRDefault="002749EF">
            <w:pPr>
              <w:ind w:left="162" w:hanging="162"/>
              <w:rPr>
                <w:sz w:val="16"/>
              </w:rPr>
            </w:pPr>
            <w:r>
              <w:rPr>
                <w:sz w:val="16"/>
              </w:rPr>
              <w:t xml:space="preserve">TEB Finansal </w:t>
            </w:r>
          </w:p>
        </w:tc>
        <w:tc>
          <w:tcPr>
            <w:tcW w:w="236" w:type="dxa"/>
          </w:tcPr>
          <w:p w:rsidR="00D076F0" w:rsidRDefault="00D076F0">
            <w:pPr>
              <w:rPr>
                <w:sz w:val="16"/>
              </w:rPr>
            </w:pPr>
          </w:p>
        </w:tc>
        <w:tc>
          <w:tcPr>
            <w:tcW w:w="1327" w:type="dxa"/>
            <w:gridSpan w:val="3"/>
          </w:tcPr>
          <w:p w:rsidR="00D076F0" w:rsidRDefault="002749EF">
            <w:pPr>
              <w:jc w:val="center"/>
              <w:rPr>
                <w:sz w:val="16"/>
              </w:rPr>
            </w:pPr>
            <w:r>
              <w:rPr>
                <w:sz w:val="16"/>
              </w:rPr>
              <w:t>İstanbul</w:t>
            </w:r>
          </w:p>
        </w:tc>
        <w:tc>
          <w:tcPr>
            <w:tcW w:w="270" w:type="dxa"/>
          </w:tcPr>
          <w:p w:rsidR="00D076F0" w:rsidRDefault="00D076F0">
            <w:pPr>
              <w:jc w:val="right"/>
              <w:rPr>
                <w:sz w:val="16"/>
              </w:rPr>
            </w:pPr>
          </w:p>
        </w:tc>
        <w:tc>
          <w:tcPr>
            <w:tcW w:w="1737" w:type="dxa"/>
          </w:tcPr>
          <w:p w:rsidR="00D076F0" w:rsidRDefault="002749EF">
            <w:pPr>
              <w:pStyle w:val="EnvelopeReturn"/>
              <w:jc w:val="right"/>
              <w:rPr>
                <w:sz w:val="16"/>
              </w:rPr>
            </w:pPr>
            <w:r>
              <w:rPr>
                <w:sz w:val="16"/>
              </w:rPr>
              <w:t>10,000</w:t>
            </w:r>
          </w:p>
        </w:tc>
        <w:tc>
          <w:tcPr>
            <w:tcW w:w="270" w:type="dxa"/>
          </w:tcPr>
          <w:p w:rsidR="00D076F0" w:rsidRDefault="00D076F0">
            <w:pPr>
              <w:jc w:val="right"/>
              <w:rPr>
                <w:sz w:val="16"/>
              </w:rPr>
            </w:pPr>
          </w:p>
        </w:tc>
        <w:tc>
          <w:tcPr>
            <w:tcW w:w="1413" w:type="dxa"/>
          </w:tcPr>
          <w:p w:rsidR="00D076F0" w:rsidRDefault="002749EF">
            <w:pPr>
              <w:jc w:val="right"/>
              <w:rPr>
                <w:sz w:val="16"/>
              </w:rPr>
            </w:pPr>
            <w:r>
              <w:rPr>
                <w:sz w:val="16"/>
              </w:rPr>
              <w:t>16,108</w:t>
            </w:r>
          </w:p>
        </w:tc>
        <w:tc>
          <w:tcPr>
            <w:tcW w:w="270" w:type="dxa"/>
          </w:tcPr>
          <w:p w:rsidR="00D076F0" w:rsidRDefault="00D076F0">
            <w:pPr>
              <w:jc w:val="right"/>
              <w:rPr>
                <w:sz w:val="16"/>
              </w:rPr>
            </w:pPr>
          </w:p>
        </w:tc>
        <w:tc>
          <w:tcPr>
            <w:tcW w:w="1080" w:type="dxa"/>
          </w:tcPr>
          <w:p w:rsidR="00D076F0" w:rsidRDefault="002749EF">
            <w:pPr>
              <w:jc w:val="right"/>
              <w:rPr>
                <w:sz w:val="16"/>
              </w:rPr>
            </w:pPr>
            <w:r>
              <w:rPr>
                <w:sz w:val="16"/>
              </w:rPr>
              <w:t>33</w:t>
            </w:r>
          </w:p>
        </w:tc>
      </w:tr>
      <w:tr w:rsidR="00D076F0">
        <w:trPr>
          <w:cantSplit/>
        </w:trPr>
        <w:tc>
          <w:tcPr>
            <w:tcW w:w="2610" w:type="dxa"/>
          </w:tcPr>
          <w:p w:rsidR="00D076F0" w:rsidRDefault="002749EF">
            <w:pPr>
              <w:ind w:left="162" w:hanging="162"/>
              <w:rPr>
                <w:sz w:val="16"/>
              </w:rPr>
            </w:pPr>
            <w:r>
              <w:rPr>
                <w:sz w:val="16"/>
              </w:rPr>
              <w:t xml:space="preserve">TEB Factoring </w:t>
            </w:r>
          </w:p>
        </w:tc>
        <w:tc>
          <w:tcPr>
            <w:tcW w:w="236" w:type="dxa"/>
          </w:tcPr>
          <w:p w:rsidR="00D076F0" w:rsidRDefault="00D076F0">
            <w:pPr>
              <w:rPr>
                <w:sz w:val="16"/>
              </w:rPr>
            </w:pPr>
          </w:p>
        </w:tc>
        <w:tc>
          <w:tcPr>
            <w:tcW w:w="1327" w:type="dxa"/>
            <w:gridSpan w:val="3"/>
          </w:tcPr>
          <w:p w:rsidR="00D076F0" w:rsidRDefault="002749EF">
            <w:pPr>
              <w:jc w:val="center"/>
              <w:rPr>
                <w:sz w:val="16"/>
              </w:rPr>
            </w:pPr>
            <w:r>
              <w:rPr>
                <w:sz w:val="16"/>
              </w:rPr>
              <w:t>İstanbul</w:t>
            </w:r>
          </w:p>
        </w:tc>
        <w:tc>
          <w:tcPr>
            <w:tcW w:w="270" w:type="dxa"/>
          </w:tcPr>
          <w:p w:rsidR="00D076F0" w:rsidRDefault="00D076F0">
            <w:pPr>
              <w:jc w:val="right"/>
              <w:rPr>
                <w:sz w:val="16"/>
              </w:rPr>
            </w:pPr>
          </w:p>
        </w:tc>
        <w:tc>
          <w:tcPr>
            <w:tcW w:w="1737" w:type="dxa"/>
          </w:tcPr>
          <w:p w:rsidR="00D076F0" w:rsidRDefault="002749EF">
            <w:pPr>
              <w:pStyle w:val="EnvelopeReturn"/>
              <w:jc w:val="right"/>
              <w:rPr>
                <w:sz w:val="16"/>
              </w:rPr>
            </w:pPr>
            <w:r>
              <w:rPr>
                <w:sz w:val="16"/>
              </w:rPr>
              <w:t>6,200</w:t>
            </w:r>
          </w:p>
        </w:tc>
        <w:tc>
          <w:tcPr>
            <w:tcW w:w="270" w:type="dxa"/>
          </w:tcPr>
          <w:p w:rsidR="00D076F0" w:rsidRDefault="00D076F0">
            <w:pPr>
              <w:jc w:val="right"/>
              <w:rPr>
                <w:sz w:val="16"/>
              </w:rPr>
            </w:pPr>
          </w:p>
        </w:tc>
        <w:tc>
          <w:tcPr>
            <w:tcW w:w="1413" w:type="dxa"/>
          </w:tcPr>
          <w:p w:rsidR="00D076F0" w:rsidRDefault="002749EF">
            <w:pPr>
              <w:jc w:val="right"/>
              <w:rPr>
                <w:sz w:val="16"/>
              </w:rPr>
            </w:pPr>
            <w:r>
              <w:rPr>
                <w:sz w:val="16"/>
              </w:rPr>
              <w:t>10,452</w:t>
            </w:r>
          </w:p>
        </w:tc>
        <w:tc>
          <w:tcPr>
            <w:tcW w:w="270" w:type="dxa"/>
          </w:tcPr>
          <w:p w:rsidR="00D076F0" w:rsidRDefault="00D076F0">
            <w:pPr>
              <w:jc w:val="right"/>
              <w:rPr>
                <w:sz w:val="16"/>
              </w:rPr>
            </w:pPr>
          </w:p>
        </w:tc>
        <w:tc>
          <w:tcPr>
            <w:tcW w:w="1080" w:type="dxa"/>
          </w:tcPr>
          <w:p w:rsidR="00D076F0" w:rsidRDefault="002749EF">
            <w:pPr>
              <w:jc w:val="right"/>
              <w:rPr>
                <w:sz w:val="16"/>
              </w:rPr>
            </w:pPr>
            <w:r>
              <w:rPr>
                <w:sz w:val="16"/>
              </w:rPr>
              <w:t>35</w:t>
            </w:r>
          </w:p>
        </w:tc>
      </w:tr>
      <w:tr w:rsidR="00D076F0">
        <w:trPr>
          <w:cantSplit/>
        </w:trPr>
        <w:tc>
          <w:tcPr>
            <w:tcW w:w="2610" w:type="dxa"/>
          </w:tcPr>
          <w:p w:rsidR="00D076F0" w:rsidRDefault="002749EF">
            <w:pPr>
              <w:ind w:left="162" w:hanging="162"/>
              <w:rPr>
                <w:sz w:val="16"/>
              </w:rPr>
            </w:pPr>
            <w:r>
              <w:rPr>
                <w:sz w:val="16"/>
              </w:rPr>
              <w:t xml:space="preserve">TEB Sigorta </w:t>
            </w:r>
          </w:p>
        </w:tc>
        <w:tc>
          <w:tcPr>
            <w:tcW w:w="236" w:type="dxa"/>
          </w:tcPr>
          <w:p w:rsidR="00D076F0" w:rsidRDefault="00D076F0">
            <w:pPr>
              <w:rPr>
                <w:sz w:val="16"/>
              </w:rPr>
            </w:pPr>
          </w:p>
        </w:tc>
        <w:tc>
          <w:tcPr>
            <w:tcW w:w="1327" w:type="dxa"/>
            <w:gridSpan w:val="3"/>
          </w:tcPr>
          <w:p w:rsidR="00D076F0" w:rsidRDefault="002749EF">
            <w:pPr>
              <w:jc w:val="center"/>
              <w:rPr>
                <w:sz w:val="16"/>
              </w:rPr>
            </w:pPr>
            <w:r>
              <w:rPr>
                <w:sz w:val="16"/>
              </w:rPr>
              <w:t>İstanbul</w:t>
            </w:r>
          </w:p>
        </w:tc>
        <w:tc>
          <w:tcPr>
            <w:tcW w:w="270" w:type="dxa"/>
          </w:tcPr>
          <w:p w:rsidR="00D076F0" w:rsidRDefault="00D076F0">
            <w:pPr>
              <w:jc w:val="right"/>
              <w:rPr>
                <w:sz w:val="16"/>
              </w:rPr>
            </w:pPr>
          </w:p>
        </w:tc>
        <w:tc>
          <w:tcPr>
            <w:tcW w:w="1737" w:type="dxa"/>
          </w:tcPr>
          <w:p w:rsidR="00D076F0" w:rsidRDefault="002749EF">
            <w:pPr>
              <w:pStyle w:val="EnvelopeReturn"/>
              <w:jc w:val="right"/>
              <w:rPr>
                <w:sz w:val="16"/>
              </w:rPr>
            </w:pPr>
            <w:r>
              <w:rPr>
                <w:sz w:val="16"/>
              </w:rPr>
              <w:t>3,325</w:t>
            </w:r>
          </w:p>
        </w:tc>
        <w:tc>
          <w:tcPr>
            <w:tcW w:w="270" w:type="dxa"/>
          </w:tcPr>
          <w:p w:rsidR="00D076F0" w:rsidRDefault="00D076F0">
            <w:pPr>
              <w:jc w:val="right"/>
              <w:rPr>
                <w:sz w:val="16"/>
              </w:rPr>
            </w:pPr>
          </w:p>
        </w:tc>
        <w:tc>
          <w:tcPr>
            <w:tcW w:w="1413" w:type="dxa"/>
          </w:tcPr>
          <w:p w:rsidR="00D076F0" w:rsidRDefault="002749EF">
            <w:pPr>
              <w:jc w:val="right"/>
              <w:rPr>
                <w:sz w:val="16"/>
              </w:rPr>
            </w:pPr>
            <w:r>
              <w:rPr>
                <w:sz w:val="16"/>
              </w:rPr>
              <w:t>5,701</w:t>
            </w:r>
          </w:p>
        </w:tc>
        <w:tc>
          <w:tcPr>
            <w:tcW w:w="270" w:type="dxa"/>
          </w:tcPr>
          <w:p w:rsidR="00D076F0" w:rsidRDefault="00D076F0">
            <w:pPr>
              <w:jc w:val="right"/>
              <w:rPr>
                <w:sz w:val="16"/>
              </w:rPr>
            </w:pPr>
          </w:p>
        </w:tc>
        <w:tc>
          <w:tcPr>
            <w:tcW w:w="1080" w:type="dxa"/>
          </w:tcPr>
          <w:p w:rsidR="00D076F0" w:rsidRDefault="002749EF">
            <w:pPr>
              <w:jc w:val="right"/>
              <w:rPr>
                <w:sz w:val="16"/>
              </w:rPr>
            </w:pPr>
            <w:r>
              <w:rPr>
                <w:sz w:val="16"/>
              </w:rPr>
              <w:t>68</w:t>
            </w:r>
          </w:p>
        </w:tc>
      </w:tr>
      <w:tr w:rsidR="00D076F0">
        <w:trPr>
          <w:cantSplit/>
        </w:trPr>
        <w:tc>
          <w:tcPr>
            <w:tcW w:w="2610" w:type="dxa"/>
          </w:tcPr>
          <w:p w:rsidR="00D076F0" w:rsidRDefault="002749EF">
            <w:pPr>
              <w:ind w:left="162" w:hanging="162"/>
              <w:rPr>
                <w:sz w:val="16"/>
              </w:rPr>
            </w:pPr>
            <w:r>
              <w:rPr>
                <w:sz w:val="16"/>
              </w:rPr>
              <w:t>TEB Portföy</w:t>
            </w:r>
          </w:p>
        </w:tc>
        <w:tc>
          <w:tcPr>
            <w:tcW w:w="236" w:type="dxa"/>
          </w:tcPr>
          <w:p w:rsidR="00D076F0" w:rsidRDefault="00D076F0">
            <w:pPr>
              <w:rPr>
                <w:sz w:val="16"/>
              </w:rPr>
            </w:pPr>
          </w:p>
        </w:tc>
        <w:tc>
          <w:tcPr>
            <w:tcW w:w="1327" w:type="dxa"/>
            <w:gridSpan w:val="3"/>
          </w:tcPr>
          <w:p w:rsidR="00D076F0" w:rsidRDefault="002749EF">
            <w:pPr>
              <w:jc w:val="center"/>
              <w:rPr>
                <w:sz w:val="16"/>
              </w:rPr>
            </w:pPr>
            <w:r>
              <w:rPr>
                <w:sz w:val="16"/>
              </w:rPr>
              <w:t>İstanbul</w:t>
            </w:r>
          </w:p>
        </w:tc>
        <w:tc>
          <w:tcPr>
            <w:tcW w:w="270" w:type="dxa"/>
          </w:tcPr>
          <w:p w:rsidR="00D076F0" w:rsidRDefault="00D076F0">
            <w:pPr>
              <w:jc w:val="right"/>
              <w:rPr>
                <w:sz w:val="16"/>
              </w:rPr>
            </w:pPr>
          </w:p>
        </w:tc>
        <w:tc>
          <w:tcPr>
            <w:tcW w:w="1737" w:type="dxa"/>
          </w:tcPr>
          <w:p w:rsidR="00D076F0" w:rsidRDefault="002749EF">
            <w:pPr>
              <w:pStyle w:val="EnvelopeReturn"/>
              <w:jc w:val="right"/>
              <w:rPr>
                <w:sz w:val="16"/>
              </w:rPr>
            </w:pPr>
            <w:r>
              <w:rPr>
                <w:sz w:val="16"/>
              </w:rPr>
              <w:t>1,000</w:t>
            </w:r>
          </w:p>
        </w:tc>
        <w:tc>
          <w:tcPr>
            <w:tcW w:w="270" w:type="dxa"/>
          </w:tcPr>
          <w:p w:rsidR="00D076F0" w:rsidRDefault="00D076F0">
            <w:pPr>
              <w:jc w:val="right"/>
              <w:rPr>
                <w:sz w:val="16"/>
              </w:rPr>
            </w:pPr>
          </w:p>
        </w:tc>
        <w:tc>
          <w:tcPr>
            <w:tcW w:w="1413" w:type="dxa"/>
          </w:tcPr>
          <w:p w:rsidR="00D076F0" w:rsidRDefault="002749EF">
            <w:pPr>
              <w:jc w:val="right"/>
              <w:rPr>
                <w:sz w:val="16"/>
              </w:rPr>
            </w:pPr>
            <w:r>
              <w:rPr>
                <w:sz w:val="16"/>
              </w:rPr>
              <w:t>1,476</w:t>
            </w:r>
          </w:p>
        </w:tc>
        <w:tc>
          <w:tcPr>
            <w:tcW w:w="270" w:type="dxa"/>
          </w:tcPr>
          <w:p w:rsidR="00D076F0" w:rsidRDefault="00D076F0">
            <w:pPr>
              <w:jc w:val="right"/>
              <w:rPr>
                <w:sz w:val="16"/>
              </w:rPr>
            </w:pPr>
          </w:p>
        </w:tc>
        <w:tc>
          <w:tcPr>
            <w:tcW w:w="1080" w:type="dxa"/>
          </w:tcPr>
          <w:p w:rsidR="00D076F0" w:rsidRDefault="002749EF">
            <w:pPr>
              <w:jc w:val="right"/>
              <w:rPr>
                <w:sz w:val="16"/>
              </w:rPr>
            </w:pPr>
            <w:r>
              <w:rPr>
                <w:sz w:val="16"/>
              </w:rPr>
              <w:t>16</w:t>
            </w:r>
          </w:p>
        </w:tc>
      </w:tr>
      <w:tr w:rsidR="00D076F0">
        <w:trPr>
          <w:cantSplit/>
        </w:trPr>
        <w:tc>
          <w:tcPr>
            <w:tcW w:w="2610" w:type="dxa"/>
          </w:tcPr>
          <w:p w:rsidR="00D076F0" w:rsidRDefault="002749EF">
            <w:pPr>
              <w:ind w:left="162" w:hanging="162"/>
              <w:rPr>
                <w:sz w:val="16"/>
              </w:rPr>
            </w:pPr>
            <w:r>
              <w:rPr>
                <w:sz w:val="16"/>
              </w:rPr>
              <w:t>The Economy Bank</w:t>
            </w:r>
          </w:p>
        </w:tc>
        <w:tc>
          <w:tcPr>
            <w:tcW w:w="236" w:type="dxa"/>
          </w:tcPr>
          <w:p w:rsidR="00D076F0" w:rsidRDefault="00D076F0">
            <w:pPr>
              <w:rPr>
                <w:sz w:val="16"/>
              </w:rPr>
            </w:pPr>
          </w:p>
        </w:tc>
        <w:tc>
          <w:tcPr>
            <w:tcW w:w="1327" w:type="dxa"/>
            <w:gridSpan w:val="3"/>
          </w:tcPr>
          <w:p w:rsidR="00D076F0" w:rsidRDefault="002749EF">
            <w:pPr>
              <w:jc w:val="center"/>
              <w:rPr>
                <w:sz w:val="16"/>
              </w:rPr>
            </w:pPr>
            <w:r>
              <w:rPr>
                <w:sz w:val="16"/>
              </w:rPr>
              <w:t>Amsterdam</w:t>
            </w:r>
          </w:p>
        </w:tc>
        <w:tc>
          <w:tcPr>
            <w:tcW w:w="270" w:type="dxa"/>
          </w:tcPr>
          <w:p w:rsidR="00D076F0" w:rsidRDefault="00D076F0">
            <w:pPr>
              <w:jc w:val="right"/>
              <w:rPr>
                <w:sz w:val="16"/>
              </w:rPr>
            </w:pPr>
          </w:p>
        </w:tc>
        <w:tc>
          <w:tcPr>
            <w:tcW w:w="1737" w:type="dxa"/>
          </w:tcPr>
          <w:p w:rsidR="00D076F0" w:rsidRDefault="002749EF">
            <w:pPr>
              <w:pStyle w:val="EnvelopeReturn"/>
              <w:jc w:val="right"/>
              <w:rPr>
                <w:sz w:val="16"/>
              </w:rPr>
            </w:pPr>
            <w:r>
              <w:rPr>
                <w:sz w:val="16"/>
              </w:rPr>
              <w:t>32,767</w:t>
            </w:r>
          </w:p>
        </w:tc>
        <w:tc>
          <w:tcPr>
            <w:tcW w:w="270" w:type="dxa"/>
          </w:tcPr>
          <w:p w:rsidR="00D076F0" w:rsidRDefault="00D076F0">
            <w:pPr>
              <w:jc w:val="right"/>
              <w:rPr>
                <w:sz w:val="16"/>
              </w:rPr>
            </w:pPr>
          </w:p>
        </w:tc>
        <w:tc>
          <w:tcPr>
            <w:tcW w:w="1413" w:type="dxa"/>
          </w:tcPr>
          <w:p w:rsidR="00D076F0" w:rsidRDefault="002749EF">
            <w:pPr>
              <w:jc w:val="right"/>
              <w:rPr>
                <w:sz w:val="16"/>
              </w:rPr>
            </w:pPr>
            <w:r>
              <w:rPr>
                <w:sz w:val="16"/>
              </w:rPr>
              <w:t>-</w:t>
            </w:r>
          </w:p>
        </w:tc>
        <w:tc>
          <w:tcPr>
            <w:tcW w:w="270" w:type="dxa"/>
          </w:tcPr>
          <w:p w:rsidR="00D076F0" w:rsidRDefault="00D076F0">
            <w:pPr>
              <w:jc w:val="right"/>
              <w:rPr>
                <w:sz w:val="16"/>
              </w:rPr>
            </w:pPr>
          </w:p>
        </w:tc>
        <w:tc>
          <w:tcPr>
            <w:tcW w:w="1080" w:type="dxa"/>
          </w:tcPr>
          <w:p w:rsidR="00D076F0" w:rsidRDefault="002749EF">
            <w:pPr>
              <w:jc w:val="right"/>
              <w:rPr>
                <w:sz w:val="16"/>
              </w:rPr>
            </w:pPr>
            <w:r>
              <w:rPr>
                <w:sz w:val="16"/>
              </w:rPr>
              <w:t>34</w:t>
            </w:r>
          </w:p>
        </w:tc>
      </w:tr>
      <w:tr w:rsidR="00D076F0">
        <w:trPr>
          <w:cantSplit/>
        </w:trPr>
        <w:tc>
          <w:tcPr>
            <w:tcW w:w="2610" w:type="dxa"/>
          </w:tcPr>
          <w:p w:rsidR="00D076F0" w:rsidRDefault="002749EF">
            <w:pPr>
              <w:ind w:left="162" w:hanging="162"/>
              <w:rPr>
                <w:sz w:val="16"/>
              </w:rPr>
            </w:pPr>
            <w:r>
              <w:rPr>
                <w:sz w:val="16"/>
              </w:rPr>
              <w:t xml:space="preserve">Petek International </w:t>
            </w:r>
          </w:p>
        </w:tc>
        <w:tc>
          <w:tcPr>
            <w:tcW w:w="236" w:type="dxa"/>
          </w:tcPr>
          <w:p w:rsidR="00D076F0" w:rsidRDefault="00D076F0">
            <w:pPr>
              <w:rPr>
                <w:sz w:val="16"/>
              </w:rPr>
            </w:pPr>
          </w:p>
        </w:tc>
        <w:tc>
          <w:tcPr>
            <w:tcW w:w="1327" w:type="dxa"/>
            <w:gridSpan w:val="3"/>
          </w:tcPr>
          <w:p w:rsidR="00D076F0" w:rsidRDefault="002749EF">
            <w:pPr>
              <w:jc w:val="center"/>
              <w:rPr>
                <w:sz w:val="16"/>
              </w:rPr>
            </w:pPr>
            <w:r>
              <w:rPr>
                <w:sz w:val="16"/>
              </w:rPr>
              <w:t>Amsterdam</w:t>
            </w:r>
          </w:p>
        </w:tc>
        <w:tc>
          <w:tcPr>
            <w:tcW w:w="270" w:type="dxa"/>
          </w:tcPr>
          <w:p w:rsidR="00D076F0" w:rsidRDefault="00D076F0">
            <w:pPr>
              <w:jc w:val="right"/>
              <w:rPr>
                <w:sz w:val="16"/>
              </w:rPr>
            </w:pPr>
          </w:p>
        </w:tc>
        <w:tc>
          <w:tcPr>
            <w:tcW w:w="1737" w:type="dxa"/>
          </w:tcPr>
          <w:p w:rsidR="00D076F0" w:rsidRDefault="002749EF">
            <w:pPr>
              <w:pStyle w:val="EnvelopeReturn"/>
              <w:jc w:val="right"/>
              <w:rPr>
                <w:sz w:val="16"/>
              </w:rPr>
            </w:pPr>
            <w:r>
              <w:rPr>
                <w:sz w:val="16"/>
              </w:rPr>
              <w:t>702</w:t>
            </w:r>
          </w:p>
        </w:tc>
        <w:tc>
          <w:tcPr>
            <w:tcW w:w="270" w:type="dxa"/>
          </w:tcPr>
          <w:p w:rsidR="00D076F0" w:rsidRDefault="00D076F0">
            <w:pPr>
              <w:jc w:val="right"/>
              <w:rPr>
                <w:sz w:val="16"/>
              </w:rPr>
            </w:pPr>
          </w:p>
        </w:tc>
        <w:tc>
          <w:tcPr>
            <w:tcW w:w="1413" w:type="dxa"/>
          </w:tcPr>
          <w:p w:rsidR="00D076F0" w:rsidRDefault="002749EF">
            <w:pPr>
              <w:jc w:val="right"/>
              <w:rPr>
                <w:sz w:val="16"/>
              </w:rPr>
            </w:pPr>
            <w:r>
              <w:rPr>
                <w:sz w:val="16"/>
              </w:rPr>
              <w:t>-</w:t>
            </w:r>
          </w:p>
        </w:tc>
        <w:tc>
          <w:tcPr>
            <w:tcW w:w="270" w:type="dxa"/>
          </w:tcPr>
          <w:p w:rsidR="00D076F0" w:rsidRDefault="00D076F0">
            <w:pPr>
              <w:jc w:val="right"/>
              <w:rPr>
                <w:sz w:val="16"/>
              </w:rPr>
            </w:pPr>
          </w:p>
        </w:tc>
        <w:tc>
          <w:tcPr>
            <w:tcW w:w="1080" w:type="dxa"/>
          </w:tcPr>
          <w:p w:rsidR="00D076F0" w:rsidRDefault="002749EF">
            <w:pPr>
              <w:jc w:val="right"/>
              <w:rPr>
                <w:sz w:val="16"/>
              </w:rPr>
            </w:pPr>
            <w:r>
              <w:rPr>
                <w:sz w:val="16"/>
              </w:rPr>
              <w:t>-</w:t>
            </w:r>
          </w:p>
        </w:tc>
      </w:tr>
    </w:tbl>
    <w:p w:rsidR="00D076F0" w:rsidRDefault="00D076F0">
      <w:pPr>
        <w:pStyle w:val="BodyTextIndent"/>
        <w:ind w:left="0" w:firstLine="0"/>
        <w:rPr>
          <w:b/>
        </w:rPr>
      </w:pPr>
    </w:p>
    <w:p w:rsidR="00D076F0" w:rsidRDefault="00D076F0">
      <w:pPr>
        <w:tabs>
          <w:tab w:val="left" w:pos="864"/>
          <w:tab w:val="left" w:pos="2160"/>
          <w:tab w:val="left" w:pos="8280"/>
        </w:tabs>
        <w:ind w:right="-346"/>
        <w:jc w:val="both"/>
        <w:sectPr w:rsidR="00D076F0">
          <w:pgSz w:w="11894" w:h="16834"/>
          <w:pgMar w:top="1260" w:right="1440" w:bottom="1440" w:left="1440" w:header="708" w:footer="708" w:gutter="0"/>
          <w:cols w:space="708"/>
          <w:noEndnote/>
          <w:titlePg/>
        </w:sectPr>
      </w:pPr>
    </w:p>
    <w:p w:rsidR="00D076F0" w:rsidRDefault="002749EF">
      <w:pPr>
        <w:tabs>
          <w:tab w:val="left" w:pos="576"/>
          <w:tab w:val="left" w:pos="864"/>
          <w:tab w:val="left" w:pos="1584"/>
          <w:tab w:val="left" w:pos="2016"/>
          <w:tab w:val="left" w:pos="4032"/>
        </w:tabs>
        <w:ind w:right="14"/>
        <w:jc w:val="center"/>
      </w:pPr>
      <w:r>
        <w:t>(CONVENIENCE TRANSLATION OF A REPORT AND FINANCIAL STATEMENTS</w:t>
      </w:r>
    </w:p>
    <w:p w:rsidR="00D076F0" w:rsidRDefault="002749EF">
      <w:pPr>
        <w:tabs>
          <w:tab w:val="left" w:pos="576"/>
          <w:tab w:val="left" w:pos="864"/>
          <w:tab w:val="left" w:pos="1584"/>
          <w:tab w:val="left" w:pos="2016"/>
          <w:tab w:val="left" w:pos="4032"/>
        </w:tabs>
        <w:ind w:right="14"/>
        <w:jc w:val="center"/>
      </w:pPr>
      <w:r>
        <w:t>ORIGINALLY ISSUED IN TURKISH – SEE NOTE 9)</w:t>
      </w:r>
    </w:p>
    <w:p w:rsidR="00D076F0" w:rsidRDefault="00D076F0">
      <w:pPr>
        <w:tabs>
          <w:tab w:val="left" w:pos="1584"/>
        </w:tabs>
        <w:ind w:right="14"/>
      </w:pPr>
    </w:p>
    <w:p w:rsidR="00D076F0" w:rsidRDefault="00D076F0">
      <w:pPr>
        <w:pStyle w:val="BodyText2"/>
        <w:jc w:val="center"/>
      </w:pPr>
    </w:p>
    <w:p w:rsidR="00D076F0" w:rsidRDefault="002749EF">
      <w:pPr>
        <w:pStyle w:val="BodyText2"/>
        <w:jc w:val="center"/>
      </w:pPr>
      <w:r>
        <w:t>-2-</w:t>
      </w:r>
    </w:p>
    <w:p w:rsidR="00D076F0" w:rsidRDefault="00D076F0">
      <w:pPr>
        <w:pStyle w:val="BodyText2"/>
        <w:jc w:val="center"/>
      </w:pPr>
    </w:p>
    <w:p w:rsidR="00D076F0" w:rsidRDefault="002749EF">
      <w:pPr>
        <w:pStyle w:val="BodyText2"/>
        <w:ind w:right="1196"/>
        <w:jc w:val="left"/>
      </w:pPr>
      <w:r>
        <w:t xml:space="preserve">Breakdown of shareholders in the capital structures having an important </w:t>
      </w:r>
      <w:r>
        <w:t>share percentages of subsidiaries participations and affiliates which were included in consolidation in the accompanying consolidated financial statements:</w:t>
      </w:r>
    </w:p>
    <w:p w:rsidR="00D076F0" w:rsidRDefault="00D076F0">
      <w:pPr>
        <w:pStyle w:val="BodyText2"/>
        <w:jc w:val="left"/>
      </w:pPr>
    </w:p>
    <w:tbl>
      <w:tblPr>
        <w:tblW w:w="0" w:type="auto"/>
        <w:tblInd w:w="108" w:type="dxa"/>
        <w:tblLayout w:type="fixed"/>
        <w:tblLook w:val="0000" w:firstRow="0" w:lastRow="0" w:firstColumn="0" w:lastColumn="0" w:noHBand="0" w:noVBand="0"/>
      </w:tblPr>
      <w:tblGrid>
        <w:gridCol w:w="3600"/>
        <w:gridCol w:w="1078"/>
        <w:gridCol w:w="1276"/>
        <w:gridCol w:w="1276"/>
        <w:gridCol w:w="992"/>
        <w:gridCol w:w="1134"/>
        <w:gridCol w:w="1276"/>
        <w:gridCol w:w="1701"/>
      </w:tblGrid>
      <w:tr w:rsidR="00D076F0">
        <w:trPr>
          <w:cantSplit/>
        </w:trPr>
        <w:tc>
          <w:tcPr>
            <w:tcW w:w="3600" w:type="dxa"/>
            <w:tcBorders>
              <w:bottom w:val="single" w:sz="4" w:space="0" w:color="auto"/>
            </w:tcBorders>
          </w:tcPr>
          <w:p w:rsidR="00D076F0" w:rsidRDefault="00D076F0">
            <w:pPr>
              <w:ind w:left="252" w:hanging="252"/>
              <w:rPr>
                <w:sz w:val="20"/>
              </w:rPr>
            </w:pPr>
          </w:p>
          <w:p w:rsidR="00D076F0" w:rsidRDefault="00D076F0">
            <w:pPr>
              <w:ind w:left="252" w:hanging="252"/>
              <w:rPr>
                <w:sz w:val="20"/>
              </w:rPr>
            </w:pPr>
          </w:p>
          <w:p w:rsidR="00D076F0" w:rsidRDefault="002749EF">
            <w:pPr>
              <w:ind w:left="858" w:hanging="252"/>
              <w:rPr>
                <w:sz w:val="20"/>
              </w:rPr>
            </w:pPr>
            <w:r>
              <w:rPr>
                <w:sz w:val="20"/>
              </w:rPr>
              <w:t xml:space="preserve">Share owned by the parent </w:t>
            </w:r>
          </w:p>
          <w:p w:rsidR="00D076F0" w:rsidRDefault="002749EF">
            <w:pPr>
              <w:ind w:left="858" w:hanging="252"/>
              <w:rPr>
                <w:sz w:val="20"/>
              </w:rPr>
            </w:pPr>
            <w:r>
              <w:rPr>
                <w:sz w:val="20"/>
              </w:rPr>
              <w:t xml:space="preserve">     company and others </w:t>
            </w:r>
          </w:p>
          <w:p w:rsidR="00D076F0" w:rsidRDefault="002749EF">
            <w:pPr>
              <w:ind w:left="858" w:hanging="252"/>
              <w:rPr>
                <w:sz w:val="20"/>
              </w:rPr>
            </w:pPr>
            <w:r>
              <w:rPr>
                <w:sz w:val="20"/>
              </w:rPr>
              <w:t xml:space="preserve">     (Billions of TL)</w:t>
            </w:r>
          </w:p>
        </w:tc>
        <w:tc>
          <w:tcPr>
            <w:tcW w:w="1078" w:type="dxa"/>
            <w:tcBorders>
              <w:bottom w:val="single" w:sz="4" w:space="0" w:color="auto"/>
            </w:tcBorders>
          </w:tcPr>
          <w:p w:rsidR="00D076F0" w:rsidRDefault="00D076F0">
            <w:pPr>
              <w:jc w:val="center"/>
              <w:rPr>
                <w:sz w:val="20"/>
              </w:rPr>
            </w:pPr>
          </w:p>
          <w:p w:rsidR="00D076F0" w:rsidRDefault="00D076F0">
            <w:pPr>
              <w:jc w:val="center"/>
              <w:rPr>
                <w:sz w:val="20"/>
              </w:rPr>
            </w:pPr>
          </w:p>
          <w:p w:rsidR="00D076F0" w:rsidRDefault="00D076F0">
            <w:pPr>
              <w:jc w:val="center"/>
              <w:rPr>
                <w:sz w:val="20"/>
              </w:rPr>
            </w:pPr>
          </w:p>
          <w:p w:rsidR="00D076F0" w:rsidRDefault="002749EF">
            <w:pPr>
              <w:jc w:val="center"/>
              <w:rPr>
                <w:sz w:val="20"/>
              </w:rPr>
            </w:pPr>
            <w:r>
              <w:rPr>
                <w:sz w:val="20"/>
              </w:rPr>
              <w:t xml:space="preserve">TEB </w:t>
            </w:r>
          </w:p>
          <w:p w:rsidR="00D076F0" w:rsidRDefault="002749EF">
            <w:pPr>
              <w:jc w:val="center"/>
              <w:rPr>
                <w:sz w:val="20"/>
              </w:rPr>
            </w:pPr>
            <w:r>
              <w:rPr>
                <w:sz w:val="20"/>
              </w:rPr>
              <w:t>Menkul</w:t>
            </w:r>
          </w:p>
        </w:tc>
        <w:tc>
          <w:tcPr>
            <w:tcW w:w="1276" w:type="dxa"/>
            <w:tcBorders>
              <w:bottom w:val="single" w:sz="4" w:space="0" w:color="auto"/>
            </w:tcBorders>
          </w:tcPr>
          <w:p w:rsidR="00D076F0" w:rsidRDefault="00D076F0">
            <w:pPr>
              <w:ind w:left="162" w:hanging="162"/>
              <w:jc w:val="center"/>
              <w:rPr>
                <w:sz w:val="20"/>
              </w:rPr>
            </w:pPr>
          </w:p>
          <w:p w:rsidR="00D076F0" w:rsidRDefault="00D076F0">
            <w:pPr>
              <w:ind w:left="162" w:hanging="162"/>
              <w:jc w:val="center"/>
              <w:rPr>
                <w:sz w:val="20"/>
              </w:rPr>
            </w:pPr>
          </w:p>
          <w:p w:rsidR="00D076F0" w:rsidRDefault="00D076F0">
            <w:pPr>
              <w:ind w:left="162" w:hanging="162"/>
              <w:jc w:val="center"/>
              <w:rPr>
                <w:sz w:val="20"/>
              </w:rPr>
            </w:pPr>
          </w:p>
          <w:p w:rsidR="00D076F0" w:rsidRDefault="002749EF">
            <w:pPr>
              <w:ind w:left="162" w:hanging="162"/>
              <w:jc w:val="center"/>
              <w:rPr>
                <w:sz w:val="20"/>
              </w:rPr>
            </w:pPr>
            <w:r>
              <w:rPr>
                <w:sz w:val="20"/>
              </w:rPr>
              <w:t>TEB</w:t>
            </w:r>
          </w:p>
          <w:p w:rsidR="00D076F0" w:rsidRDefault="002749EF">
            <w:pPr>
              <w:ind w:left="162" w:hanging="162"/>
              <w:jc w:val="center"/>
              <w:rPr>
                <w:sz w:val="20"/>
              </w:rPr>
            </w:pPr>
            <w:r>
              <w:rPr>
                <w:sz w:val="20"/>
              </w:rPr>
              <w:t>Finansal</w:t>
            </w:r>
          </w:p>
        </w:tc>
        <w:tc>
          <w:tcPr>
            <w:tcW w:w="1276" w:type="dxa"/>
            <w:tcBorders>
              <w:bottom w:val="single" w:sz="4" w:space="0" w:color="auto"/>
            </w:tcBorders>
          </w:tcPr>
          <w:p w:rsidR="00D076F0" w:rsidRDefault="00D076F0">
            <w:pPr>
              <w:jc w:val="center"/>
              <w:rPr>
                <w:sz w:val="20"/>
              </w:rPr>
            </w:pPr>
          </w:p>
          <w:p w:rsidR="00D076F0" w:rsidRDefault="00D076F0">
            <w:pPr>
              <w:jc w:val="center"/>
              <w:rPr>
                <w:sz w:val="20"/>
              </w:rPr>
            </w:pPr>
          </w:p>
          <w:p w:rsidR="00D076F0" w:rsidRDefault="00D076F0">
            <w:pPr>
              <w:jc w:val="center"/>
              <w:rPr>
                <w:sz w:val="20"/>
              </w:rPr>
            </w:pPr>
          </w:p>
          <w:p w:rsidR="00D076F0" w:rsidRDefault="002749EF">
            <w:pPr>
              <w:jc w:val="center"/>
              <w:rPr>
                <w:sz w:val="20"/>
              </w:rPr>
            </w:pPr>
            <w:r>
              <w:rPr>
                <w:sz w:val="20"/>
              </w:rPr>
              <w:t xml:space="preserve">TEB </w:t>
            </w:r>
          </w:p>
          <w:p w:rsidR="00D076F0" w:rsidRDefault="002749EF">
            <w:pPr>
              <w:jc w:val="center"/>
              <w:rPr>
                <w:sz w:val="20"/>
              </w:rPr>
            </w:pPr>
            <w:r>
              <w:rPr>
                <w:sz w:val="20"/>
              </w:rPr>
              <w:t>Factoring</w:t>
            </w:r>
          </w:p>
        </w:tc>
        <w:tc>
          <w:tcPr>
            <w:tcW w:w="992" w:type="dxa"/>
            <w:tcBorders>
              <w:bottom w:val="single" w:sz="4" w:space="0" w:color="auto"/>
            </w:tcBorders>
          </w:tcPr>
          <w:p w:rsidR="00D076F0" w:rsidRDefault="00D076F0">
            <w:pPr>
              <w:jc w:val="center"/>
              <w:rPr>
                <w:sz w:val="20"/>
              </w:rPr>
            </w:pPr>
          </w:p>
          <w:p w:rsidR="00D076F0" w:rsidRDefault="00D076F0">
            <w:pPr>
              <w:jc w:val="center"/>
              <w:rPr>
                <w:sz w:val="20"/>
              </w:rPr>
            </w:pPr>
          </w:p>
          <w:p w:rsidR="00D076F0" w:rsidRDefault="00D076F0">
            <w:pPr>
              <w:jc w:val="center"/>
              <w:rPr>
                <w:sz w:val="20"/>
              </w:rPr>
            </w:pPr>
          </w:p>
          <w:p w:rsidR="00D076F0" w:rsidRDefault="002749EF">
            <w:pPr>
              <w:jc w:val="center"/>
              <w:rPr>
                <w:sz w:val="20"/>
              </w:rPr>
            </w:pPr>
            <w:r>
              <w:rPr>
                <w:sz w:val="20"/>
              </w:rPr>
              <w:t xml:space="preserve">TEB </w:t>
            </w:r>
          </w:p>
          <w:p w:rsidR="00D076F0" w:rsidRDefault="002749EF">
            <w:pPr>
              <w:jc w:val="center"/>
              <w:rPr>
                <w:sz w:val="20"/>
              </w:rPr>
            </w:pPr>
            <w:r>
              <w:rPr>
                <w:sz w:val="20"/>
              </w:rPr>
              <w:t>Sigorta</w:t>
            </w:r>
          </w:p>
        </w:tc>
        <w:tc>
          <w:tcPr>
            <w:tcW w:w="1134" w:type="dxa"/>
            <w:tcBorders>
              <w:bottom w:val="single" w:sz="4" w:space="0" w:color="auto"/>
            </w:tcBorders>
          </w:tcPr>
          <w:p w:rsidR="00D076F0" w:rsidRDefault="00D076F0">
            <w:pPr>
              <w:jc w:val="center"/>
              <w:rPr>
                <w:sz w:val="20"/>
              </w:rPr>
            </w:pPr>
          </w:p>
          <w:p w:rsidR="00D076F0" w:rsidRDefault="00D076F0">
            <w:pPr>
              <w:jc w:val="center"/>
              <w:rPr>
                <w:sz w:val="20"/>
              </w:rPr>
            </w:pPr>
          </w:p>
          <w:p w:rsidR="00D076F0" w:rsidRDefault="00D076F0">
            <w:pPr>
              <w:jc w:val="center"/>
              <w:rPr>
                <w:sz w:val="20"/>
              </w:rPr>
            </w:pPr>
          </w:p>
          <w:p w:rsidR="00D076F0" w:rsidRDefault="002749EF">
            <w:pPr>
              <w:jc w:val="center"/>
              <w:rPr>
                <w:sz w:val="20"/>
              </w:rPr>
            </w:pPr>
            <w:r>
              <w:rPr>
                <w:sz w:val="20"/>
              </w:rPr>
              <w:t xml:space="preserve">TEB </w:t>
            </w:r>
          </w:p>
          <w:p w:rsidR="00D076F0" w:rsidRDefault="002749EF">
            <w:pPr>
              <w:jc w:val="center"/>
              <w:rPr>
                <w:sz w:val="20"/>
              </w:rPr>
            </w:pPr>
            <w:r>
              <w:rPr>
                <w:sz w:val="20"/>
              </w:rPr>
              <w:t>Portföy</w:t>
            </w:r>
          </w:p>
        </w:tc>
        <w:tc>
          <w:tcPr>
            <w:tcW w:w="1276" w:type="dxa"/>
            <w:tcBorders>
              <w:bottom w:val="single" w:sz="4" w:space="0" w:color="auto"/>
            </w:tcBorders>
          </w:tcPr>
          <w:p w:rsidR="00D076F0" w:rsidRDefault="00D076F0">
            <w:pPr>
              <w:jc w:val="center"/>
              <w:rPr>
                <w:sz w:val="20"/>
              </w:rPr>
            </w:pPr>
          </w:p>
          <w:p w:rsidR="00D076F0" w:rsidRDefault="00D076F0">
            <w:pPr>
              <w:jc w:val="center"/>
              <w:rPr>
                <w:sz w:val="20"/>
              </w:rPr>
            </w:pPr>
          </w:p>
          <w:p w:rsidR="00D076F0" w:rsidRDefault="00D076F0">
            <w:pPr>
              <w:jc w:val="center"/>
              <w:rPr>
                <w:sz w:val="20"/>
              </w:rPr>
            </w:pPr>
          </w:p>
          <w:p w:rsidR="00D076F0" w:rsidRDefault="002749EF">
            <w:pPr>
              <w:jc w:val="center"/>
              <w:rPr>
                <w:sz w:val="20"/>
              </w:rPr>
            </w:pPr>
            <w:r>
              <w:rPr>
                <w:sz w:val="20"/>
              </w:rPr>
              <w:t>Economy</w:t>
            </w:r>
          </w:p>
          <w:p w:rsidR="00D076F0" w:rsidRDefault="002749EF">
            <w:pPr>
              <w:jc w:val="center"/>
              <w:rPr>
                <w:sz w:val="20"/>
              </w:rPr>
            </w:pPr>
            <w:r>
              <w:rPr>
                <w:sz w:val="20"/>
              </w:rPr>
              <w:t>Bank (*)</w:t>
            </w:r>
          </w:p>
        </w:tc>
        <w:tc>
          <w:tcPr>
            <w:tcW w:w="1701" w:type="dxa"/>
            <w:tcBorders>
              <w:bottom w:val="single" w:sz="4" w:space="0" w:color="auto"/>
            </w:tcBorders>
          </w:tcPr>
          <w:p w:rsidR="00D076F0" w:rsidRDefault="00D076F0">
            <w:pPr>
              <w:jc w:val="center"/>
              <w:rPr>
                <w:sz w:val="20"/>
              </w:rPr>
            </w:pPr>
          </w:p>
          <w:p w:rsidR="00D076F0" w:rsidRDefault="00D076F0">
            <w:pPr>
              <w:jc w:val="center"/>
              <w:rPr>
                <w:sz w:val="20"/>
              </w:rPr>
            </w:pPr>
          </w:p>
          <w:p w:rsidR="00D076F0" w:rsidRDefault="00D076F0">
            <w:pPr>
              <w:jc w:val="center"/>
              <w:rPr>
                <w:sz w:val="20"/>
              </w:rPr>
            </w:pPr>
          </w:p>
          <w:p w:rsidR="00D076F0" w:rsidRDefault="002749EF">
            <w:pPr>
              <w:jc w:val="center"/>
              <w:rPr>
                <w:sz w:val="20"/>
              </w:rPr>
            </w:pPr>
            <w:r>
              <w:rPr>
                <w:sz w:val="20"/>
              </w:rPr>
              <w:t>Petek</w:t>
            </w:r>
          </w:p>
          <w:p w:rsidR="00D076F0" w:rsidRDefault="002749EF">
            <w:pPr>
              <w:jc w:val="center"/>
              <w:rPr>
                <w:sz w:val="20"/>
              </w:rPr>
            </w:pPr>
            <w:r>
              <w:rPr>
                <w:sz w:val="20"/>
              </w:rPr>
              <w:t xml:space="preserve">International (*) </w:t>
            </w:r>
          </w:p>
        </w:tc>
      </w:tr>
      <w:tr w:rsidR="00D076F0">
        <w:trPr>
          <w:cantSplit/>
        </w:trPr>
        <w:tc>
          <w:tcPr>
            <w:tcW w:w="3600" w:type="dxa"/>
          </w:tcPr>
          <w:p w:rsidR="00D076F0" w:rsidRDefault="00D076F0">
            <w:pPr>
              <w:ind w:left="252" w:hanging="252"/>
              <w:rPr>
                <w:sz w:val="20"/>
              </w:rPr>
            </w:pPr>
          </w:p>
        </w:tc>
        <w:tc>
          <w:tcPr>
            <w:tcW w:w="1078" w:type="dxa"/>
          </w:tcPr>
          <w:p w:rsidR="00D076F0" w:rsidRDefault="00D076F0">
            <w:pPr>
              <w:jc w:val="right"/>
              <w:rPr>
                <w:sz w:val="20"/>
              </w:rPr>
            </w:pPr>
          </w:p>
        </w:tc>
        <w:tc>
          <w:tcPr>
            <w:tcW w:w="1276" w:type="dxa"/>
          </w:tcPr>
          <w:p w:rsidR="00D076F0" w:rsidRDefault="00D076F0">
            <w:pPr>
              <w:jc w:val="right"/>
              <w:rPr>
                <w:sz w:val="20"/>
              </w:rPr>
            </w:pPr>
          </w:p>
        </w:tc>
        <w:tc>
          <w:tcPr>
            <w:tcW w:w="1276" w:type="dxa"/>
          </w:tcPr>
          <w:p w:rsidR="00D076F0" w:rsidRDefault="00D076F0">
            <w:pPr>
              <w:jc w:val="right"/>
              <w:rPr>
                <w:sz w:val="20"/>
              </w:rPr>
            </w:pPr>
          </w:p>
        </w:tc>
        <w:tc>
          <w:tcPr>
            <w:tcW w:w="992" w:type="dxa"/>
          </w:tcPr>
          <w:p w:rsidR="00D076F0" w:rsidRDefault="00D076F0">
            <w:pPr>
              <w:jc w:val="right"/>
              <w:rPr>
                <w:sz w:val="20"/>
              </w:rPr>
            </w:pPr>
          </w:p>
        </w:tc>
        <w:tc>
          <w:tcPr>
            <w:tcW w:w="1134" w:type="dxa"/>
          </w:tcPr>
          <w:p w:rsidR="00D076F0" w:rsidRDefault="00D076F0">
            <w:pPr>
              <w:jc w:val="right"/>
              <w:rPr>
                <w:sz w:val="20"/>
              </w:rPr>
            </w:pPr>
          </w:p>
        </w:tc>
        <w:tc>
          <w:tcPr>
            <w:tcW w:w="1276" w:type="dxa"/>
          </w:tcPr>
          <w:p w:rsidR="00D076F0" w:rsidRDefault="00D076F0">
            <w:pPr>
              <w:jc w:val="right"/>
              <w:rPr>
                <w:sz w:val="20"/>
              </w:rPr>
            </w:pPr>
          </w:p>
        </w:tc>
        <w:tc>
          <w:tcPr>
            <w:tcW w:w="1701" w:type="dxa"/>
          </w:tcPr>
          <w:p w:rsidR="00D076F0" w:rsidRDefault="00D076F0">
            <w:pPr>
              <w:jc w:val="right"/>
              <w:rPr>
                <w:sz w:val="20"/>
              </w:rPr>
            </w:pPr>
          </w:p>
        </w:tc>
      </w:tr>
      <w:tr w:rsidR="00D076F0">
        <w:trPr>
          <w:cantSplit/>
        </w:trPr>
        <w:tc>
          <w:tcPr>
            <w:tcW w:w="3600" w:type="dxa"/>
          </w:tcPr>
          <w:p w:rsidR="00D076F0" w:rsidRDefault="002749EF">
            <w:pPr>
              <w:ind w:left="858" w:hanging="252"/>
            </w:pPr>
            <w:r>
              <w:t>Türk Ekonomi Bankası A.S.</w:t>
            </w:r>
          </w:p>
        </w:tc>
        <w:tc>
          <w:tcPr>
            <w:tcW w:w="1078" w:type="dxa"/>
          </w:tcPr>
          <w:p w:rsidR="00D076F0" w:rsidRDefault="002749EF">
            <w:pPr>
              <w:jc w:val="right"/>
            </w:pPr>
            <w:r>
              <w:t>7,479</w:t>
            </w:r>
          </w:p>
        </w:tc>
        <w:tc>
          <w:tcPr>
            <w:tcW w:w="1276" w:type="dxa"/>
          </w:tcPr>
          <w:p w:rsidR="00D076F0" w:rsidRDefault="002749EF">
            <w:pPr>
              <w:jc w:val="right"/>
            </w:pPr>
            <w:r>
              <w:t>6,876</w:t>
            </w:r>
          </w:p>
        </w:tc>
        <w:tc>
          <w:tcPr>
            <w:tcW w:w="1276" w:type="dxa"/>
          </w:tcPr>
          <w:p w:rsidR="00D076F0" w:rsidRDefault="002749EF">
            <w:pPr>
              <w:jc w:val="right"/>
            </w:pPr>
            <w:r>
              <w:t>4,080</w:t>
            </w:r>
          </w:p>
        </w:tc>
        <w:tc>
          <w:tcPr>
            <w:tcW w:w="992" w:type="dxa"/>
          </w:tcPr>
          <w:p w:rsidR="00D076F0" w:rsidRDefault="002749EF">
            <w:pPr>
              <w:jc w:val="right"/>
            </w:pPr>
            <w:r>
              <w:t>1,663</w:t>
            </w:r>
          </w:p>
        </w:tc>
        <w:tc>
          <w:tcPr>
            <w:tcW w:w="1134" w:type="dxa"/>
          </w:tcPr>
          <w:p w:rsidR="00D076F0" w:rsidRDefault="002749EF">
            <w:pPr>
              <w:jc w:val="right"/>
            </w:pPr>
            <w:r>
              <w:t>559</w:t>
            </w:r>
          </w:p>
        </w:tc>
        <w:tc>
          <w:tcPr>
            <w:tcW w:w="1276" w:type="dxa"/>
          </w:tcPr>
          <w:p w:rsidR="00D076F0" w:rsidRDefault="002749EF">
            <w:pPr>
              <w:jc w:val="right"/>
            </w:pPr>
            <w:r>
              <w:t>32,767</w:t>
            </w:r>
          </w:p>
        </w:tc>
        <w:tc>
          <w:tcPr>
            <w:tcW w:w="1701" w:type="dxa"/>
          </w:tcPr>
          <w:p w:rsidR="00D076F0" w:rsidRDefault="002749EF">
            <w:pPr>
              <w:jc w:val="right"/>
            </w:pPr>
            <w:r>
              <w:t>702</w:t>
            </w:r>
          </w:p>
        </w:tc>
      </w:tr>
      <w:tr w:rsidR="00D076F0">
        <w:trPr>
          <w:cantSplit/>
          <w:trHeight w:val="153"/>
        </w:trPr>
        <w:tc>
          <w:tcPr>
            <w:tcW w:w="3600" w:type="dxa"/>
          </w:tcPr>
          <w:p w:rsidR="00D076F0" w:rsidRDefault="002749EF">
            <w:pPr>
              <w:ind w:left="858" w:hanging="252"/>
            </w:pPr>
            <w:r>
              <w:t xml:space="preserve">TEB Menkul </w:t>
            </w:r>
          </w:p>
        </w:tc>
        <w:tc>
          <w:tcPr>
            <w:tcW w:w="1078" w:type="dxa"/>
          </w:tcPr>
          <w:p w:rsidR="00D076F0" w:rsidRDefault="002749EF">
            <w:pPr>
              <w:jc w:val="right"/>
            </w:pPr>
            <w:r>
              <w:t>-</w:t>
            </w:r>
          </w:p>
        </w:tc>
        <w:tc>
          <w:tcPr>
            <w:tcW w:w="1276" w:type="dxa"/>
          </w:tcPr>
          <w:p w:rsidR="00D076F0" w:rsidRDefault="002749EF">
            <w:pPr>
              <w:jc w:val="right"/>
            </w:pPr>
            <w:r>
              <w:t>-</w:t>
            </w:r>
          </w:p>
        </w:tc>
        <w:tc>
          <w:tcPr>
            <w:tcW w:w="1276" w:type="dxa"/>
          </w:tcPr>
          <w:p w:rsidR="00D076F0" w:rsidRDefault="002749EF">
            <w:pPr>
              <w:jc w:val="right"/>
            </w:pPr>
            <w:r>
              <w:t>223</w:t>
            </w:r>
          </w:p>
        </w:tc>
        <w:tc>
          <w:tcPr>
            <w:tcW w:w="992" w:type="dxa"/>
          </w:tcPr>
          <w:p w:rsidR="00D076F0" w:rsidRDefault="002749EF">
            <w:pPr>
              <w:jc w:val="right"/>
            </w:pPr>
            <w:r>
              <w:t>-</w:t>
            </w:r>
          </w:p>
        </w:tc>
        <w:tc>
          <w:tcPr>
            <w:tcW w:w="1134" w:type="dxa"/>
          </w:tcPr>
          <w:p w:rsidR="00D076F0" w:rsidRDefault="002749EF">
            <w:pPr>
              <w:jc w:val="right"/>
            </w:pPr>
            <w:r>
              <w:t>438</w:t>
            </w:r>
          </w:p>
        </w:tc>
        <w:tc>
          <w:tcPr>
            <w:tcW w:w="1276" w:type="dxa"/>
          </w:tcPr>
          <w:p w:rsidR="00D076F0" w:rsidRDefault="002749EF">
            <w:pPr>
              <w:jc w:val="right"/>
            </w:pPr>
            <w:r>
              <w:t>-</w:t>
            </w:r>
          </w:p>
        </w:tc>
        <w:tc>
          <w:tcPr>
            <w:tcW w:w="1701" w:type="dxa"/>
          </w:tcPr>
          <w:p w:rsidR="00D076F0" w:rsidRDefault="002749EF">
            <w:pPr>
              <w:jc w:val="right"/>
            </w:pPr>
            <w:r>
              <w:t>-</w:t>
            </w:r>
          </w:p>
        </w:tc>
      </w:tr>
      <w:tr w:rsidR="00D076F0">
        <w:trPr>
          <w:cantSplit/>
        </w:trPr>
        <w:tc>
          <w:tcPr>
            <w:tcW w:w="3600" w:type="dxa"/>
          </w:tcPr>
          <w:p w:rsidR="00D076F0" w:rsidRDefault="002749EF">
            <w:pPr>
              <w:ind w:left="858" w:hanging="252"/>
            </w:pPr>
            <w:r>
              <w:t>TEB Finansal</w:t>
            </w:r>
          </w:p>
        </w:tc>
        <w:tc>
          <w:tcPr>
            <w:tcW w:w="1078" w:type="dxa"/>
          </w:tcPr>
          <w:p w:rsidR="00D076F0" w:rsidRDefault="002749EF">
            <w:pPr>
              <w:jc w:val="right"/>
            </w:pPr>
            <w:r>
              <w:t>1,754</w:t>
            </w:r>
          </w:p>
        </w:tc>
        <w:tc>
          <w:tcPr>
            <w:tcW w:w="1276" w:type="dxa"/>
          </w:tcPr>
          <w:p w:rsidR="00D076F0" w:rsidRDefault="002749EF">
            <w:pPr>
              <w:jc w:val="right"/>
            </w:pPr>
            <w:r>
              <w:t>-</w:t>
            </w:r>
          </w:p>
        </w:tc>
        <w:tc>
          <w:tcPr>
            <w:tcW w:w="1276" w:type="dxa"/>
          </w:tcPr>
          <w:p w:rsidR="00D076F0" w:rsidRDefault="002749EF">
            <w:pPr>
              <w:jc w:val="right"/>
            </w:pPr>
            <w:r>
              <w:t>124</w:t>
            </w:r>
          </w:p>
        </w:tc>
        <w:tc>
          <w:tcPr>
            <w:tcW w:w="992" w:type="dxa"/>
          </w:tcPr>
          <w:p w:rsidR="00D076F0" w:rsidRDefault="002749EF">
            <w:pPr>
              <w:jc w:val="right"/>
            </w:pPr>
            <w:r>
              <w:t>-</w:t>
            </w:r>
          </w:p>
        </w:tc>
        <w:tc>
          <w:tcPr>
            <w:tcW w:w="1134" w:type="dxa"/>
          </w:tcPr>
          <w:p w:rsidR="00D076F0" w:rsidRDefault="002749EF">
            <w:pPr>
              <w:jc w:val="right"/>
            </w:pPr>
            <w:r>
              <w:t>-</w:t>
            </w:r>
          </w:p>
        </w:tc>
        <w:tc>
          <w:tcPr>
            <w:tcW w:w="1276" w:type="dxa"/>
          </w:tcPr>
          <w:p w:rsidR="00D076F0" w:rsidRDefault="002749EF">
            <w:pPr>
              <w:jc w:val="right"/>
            </w:pPr>
            <w:r>
              <w:t>-</w:t>
            </w:r>
          </w:p>
        </w:tc>
        <w:tc>
          <w:tcPr>
            <w:tcW w:w="1701" w:type="dxa"/>
          </w:tcPr>
          <w:p w:rsidR="00D076F0" w:rsidRDefault="002749EF">
            <w:pPr>
              <w:ind w:left="-1492"/>
              <w:jc w:val="right"/>
            </w:pPr>
            <w:r>
              <w:t>-</w:t>
            </w:r>
          </w:p>
        </w:tc>
      </w:tr>
      <w:tr w:rsidR="00D076F0">
        <w:trPr>
          <w:cantSplit/>
        </w:trPr>
        <w:tc>
          <w:tcPr>
            <w:tcW w:w="3600" w:type="dxa"/>
          </w:tcPr>
          <w:p w:rsidR="00D076F0" w:rsidRDefault="002749EF">
            <w:pPr>
              <w:ind w:left="858" w:hanging="252"/>
            </w:pPr>
            <w:r>
              <w:t xml:space="preserve">TEB </w:t>
            </w:r>
            <w:r>
              <w:t>Factoring</w:t>
            </w:r>
          </w:p>
        </w:tc>
        <w:tc>
          <w:tcPr>
            <w:tcW w:w="1078" w:type="dxa"/>
          </w:tcPr>
          <w:p w:rsidR="00D076F0" w:rsidRDefault="002749EF">
            <w:pPr>
              <w:jc w:val="right"/>
            </w:pPr>
            <w:r>
              <w:t>752</w:t>
            </w:r>
          </w:p>
        </w:tc>
        <w:tc>
          <w:tcPr>
            <w:tcW w:w="1276" w:type="dxa"/>
          </w:tcPr>
          <w:p w:rsidR="00D076F0" w:rsidRDefault="002749EF">
            <w:pPr>
              <w:jc w:val="right"/>
            </w:pPr>
            <w:r>
              <w:t>355</w:t>
            </w:r>
          </w:p>
        </w:tc>
        <w:tc>
          <w:tcPr>
            <w:tcW w:w="1276" w:type="dxa"/>
          </w:tcPr>
          <w:p w:rsidR="00D076F0" w:rsidRDefault="002749EF">
            <w:pPr>
              <w:jc w:val="right"/>
            </w:pPr>
            <w:r>
              <w:t>-</w:t>
            </w:r>
          </w:p>
        </w:tc>
        <w:tc>
          <w:tcPr>
            <w:tcW w:w="992" w:type="dxa"/>
          </w:tcPr>
          <w:p w:rsidR="00D076F0" w:rsidRDefault="002749EF">
            <w:pPr>
              <w:jc w:val="right"/>
            </w:pPr>
            <w:r>
              <w:t>-</w:t>
            </w:r>
          </w:p>
        </w:tc>
        <w:tc>
          <w:tcPr>
            <w:tcW w:w="1134" w:type="dxa"/>
          </w:tcPr>
          <w:p w:rsidR="00D076F0" w:rsidRDefault="002749EF">
            <w:pPr>
              <w:jc w:val="right"/>
            </w:pPr>
            <w:r>
              <w:t>-</w:t>
            </w:r>
          </w:p>
        </w:tc>
        <w:tc>
          <w:tcPr>
            <w:tcW w:w="1276" w:type="dxa"/>
          </w:tcPr>
          <w:p w:rsidR="00D076F0" w:rsidRDefault="002749EF">
            <w:pPr>
              <w:jc w:val="right"/>
            </w:pPr>
            <w:r>
              <w:t>-</w:t>
            </w:r>
          </w:p>
        </w:tc>
        <w:tc>
          <w:tcPr>
            <w:tcW w:w="1701" w:type="dxa"/>
          </w:tcPr>
          <w:p w:rsidR="00D076F0" w:rsidRDefault="002749EF">
            <w:pPr>
              <w:jc w:val="right"/>
            </w:pPr>
            <w:r>
              <w:t>-</w:t>
            </w:r>
          </w:p>
        </w:tc>
      </w:tr>
      <w:tr w:rsidR="00D076F0">
        <w:trPr>
          <w:cantSplit/>
        </w:trPr>
        <w:tc>
          <w:tcPr>
            <w:tcW w:w="3600" w:type="dxa"/>
          </w:tcPr>
          <w:p w:rsidR="00D076F0" w:rsidRDefault="002749EF">
            <w:pPr>
              <w:ind w:left="858" w:hanging="252"/>
            </w:pPr>
            <w:r>
              <w:t>TEB Sigorta</w:t>
            </w:r>
          </w:p>
        </w:tc>
        <w:tc>
          <w:tcPr>
            <w:tcW w:w="1078" w:type="dxa"/>
          </w:tcPr>
          <w:p w:rsidR="00D076F0" w:rsidRDefault="002749EF">
            <w:pPr>
              <w:jc w:val="right"/>
            </w:pPr>
            <w:r>
              <w:t>-</w:t>
            </w:r>
          </w:p>
        </w:tc>
        <w:tc>
          <w:tcPr>
            <w:tcW w:w="1276" w:type="dxa"/>
          </w:tcPr>
          <w:p w:rsidR="00D076F0" w:rsidRDefault="002749EF">
            <w:pPr>
              <w:jc w:val="right"/>
            </w:pPr>
            <w:r>
              <w:t>287</w:t>
            </w:r>
          </w:p>
        </w:tc>
        <w:tc>
          <w:tcPr>
            <w:tcW w:w="1276" w:type="dxa"/>
          </w:tcPr>
          <w:p w:rsidR="00D076F0" w:rsidRDefault="002749EF">
            <w:pPr>
              <w:jc w:val="right"/>
            </w:pPr>
            <w:r>
              <w:t>112</w:t>
            </w:r>
          </w:p>
        </w:tc>
        <w:tc>
          <w:tcPr>
            <w:tcW w:w="992" w:type="dxa"/>
          </w:tcPr>
          <w:p w:rsidR="00D076F0" w:rsidRDefault="002749EF">
            <w:pPr>
              <w:jc w:val="right"/>
            </w:pPr>
            <w:r>
              <w:t>-</w:t>
            </w:r>
          </w:p>
        </w:tc>
        <w:tc>
          <w:tcPr>
            <w:tcW w:w="1134" w:type="dxa"/>
          </w:tcPr>
          <w:p w:rsidR="00D076F0" w:rsidRDefault="002749EF">
            <w:pPr>
              <w:jc w:val="right"/>
            </w:pPr>
            <w:r>
              <w:t>-</w:t>
            </w:r>
          </w:p>
        </w:tc>
        <w:tc>
          <w:tcPr>
            <w:tcW w:w="1276" w:type="dxa"/>
          </w:tcPr>
          <w:p w:rsidR="00D076F0" w:rsidRDefault="002749EF">
            <w:pPr>
              <w:jc w:val="right"/>
            </w:pPr>
            <w:r>
              <w:t>-</w:t>
            </w:r>
          </w:p>
        </w:tc>
        <w:tc>
          <w:tcPr>
            <w:tcW w:w="1701" w:type="dxa"/>
          </w:tcPr>
          <w:p w:rsidR="00D076F0" w:rsidRDefault="002749EF">
            <w:pPr>
              <w:jc w:val="right"/>
            </w:pPr>
            <w:r>
              <w:t>-</w:t>
            </w:r>
          </w:p>
        </w:tc>
      </w:tr>
      <w:tr w:rsidR="00D076F0">
        <w:trPr>
          <w:cantSplit/>
        </w:trPr>
        <w:tc>
          <w:tcPr>
            <w:tcW w:w="3600" w:type="dxa"/>
          </w:tcPr>
          <w:p w:rsidR="00D076F0" w:rsidRDefault="002749EF">
            <w:pPr>
              <w:ind w:left="858" w:hanging="252"/>
            </w:pPr>
            <w:r>
              <w:t>TEB Portföy</w:t>
            </w:r>
          </w:p>
        </w:tc>
        <w:tc>
          <w:tcPr>
            <w:tcW w:w="1078" w:type="dxa"/>
          </w:tcPr>
          <w:p w:rsidR="00D076F0" w:rsidRDefault="002749EF">
            <w:pPr>
              <w:jc w:val="right"/>
            </w:pPr>
            <w:r>
              <w:t>-</w:t>
            </w:r>
          </w:p>
        </w:tc>
        <w:tc>
          <w:tcPr>
            <w:tcW w:w="1276" w:type="dxa"/>
          </w:tcPr>
          <w:p w:rsidR="00D076F0" w:rsidRDefault="002749EF">
            <w:pPr>
              <w:jc w:val="right"/>
            </w:pPr>
            <w:r>
              <w:t>-</w:t>
            </w:r>
          </w:p>
        </w:tc>
        <w:tc>
          <w:tcPr>
            <w:tcW w:w="1276" w:type="dxa"/>
          </w:tcPr>
          <w:p w:rsidR="00D076F0" w:rsidRDefault="002749EF">
            <w:pPr>
              <w:jc w:val="right"/>
            </w:pPr>
            <w:r>
              <w:t>-</w:t>
            </w:r>
          </w:p>
        </w:tc>
        <w:tc>
          <w:tcPr>
            <w:tcW w:w="992" w:type="dxa"/>
          </w:tcPr>
          <w:p w:rsidR="00D076F0" w:rsidRDefault="002749EF">
            <w:pPr>
              <w:jc w:val="right"/>
            </w:pPr>
            <w:r>
              <w:t>-</w:t>
            </w:r>
          </w:p>
        </w:tc>
        <w:tc>
          <w:tcPr>
            <w:tcW w:w="1134" w:type="dxa"/>
          </w:tcPr>
          <w:p w:rsidR="00D076F0" w:rsidRDefault="002749EF">
            <w:pPr>
              <w:jc w:val="right"/>
            </w:pPr>
            <w:r>
              <w:t>-</w:t>
            </w:r>
          </w:p>
        </w:tc>
        <w:tc>
          <w:tcPr>
            <w:tcW w:w="1276" w:type="dxa"/>
          </w:tcPr>
          <w:p w:rsidR="00D076F0" w:rsidRDefault="002749EF">
            <w:pPr>
              <w:jc w:val="right"/>
            </w:pPr>
            <w:r>
              <w:t>-</w:t>
            </w:r>
          </w:p>
        </w:tc>
        <w:tc>
          <w:tcPr>
            <w:tcW w:w="1701" w:type="dxa"/>
          </w:tcPr>
          <w:p w:rsidR="00D076F0" w:rsidRDefault="002749EF">
            <w:pPr>
              <w:jc w:val="right"/>
            </w:pPr>
            <w:r>
              <w:t>-</w:t>
            </w:r>
          </w:p>
        </w:tc>
      </w:tr>
      <w:tr w:rsidR="00D076F0">
        <w:trPr>
          <w:cantSplit/>
        </w:trPr>
        <w:tc>
          <w:tcPr>
            <w:tcW w:w="3600" w:type="dxa"/>
          </w:tcPr>
          <w:p w:rsidR="00D076F0" w:rsidRDefault="002749EF">
            <w:pPr>
              <w:ind w:left="858" w:hanging="252"/>
            </w:pPr>
            <w:r>
              <w:t>Others</w:t>
            </w:r>
          </w:p>
        </w:tc>
        <w:tc>
          <w:tcPr>
            <w:tcW w:w="1078" w:type="dxa"/>
            <w:tcBorders>
              <w:bottom w:val="single" w:sz="4" w:space="0" w:color="auto"/>
            </w:tcBorders>
          </w:tcPr>
          <w:p w:rsidR="00D076F0" w:rsidRDefault="002749EF">
            <w:pPr>
              <w:jc w:val="right"/>
            </w:pPr>
            <w:r>
              <w:t>15</w:t>
            </w:r>
          </w:p>
        </w:tc>
        <w:tc>
          <w:tcPr>
            <w:tcW w:w="1276" w:type="dxa"/>
            <w:tcBorders>
              <w:bottom w:val="single" w:sz="4" w:space="0" w:color="auto"/>
            </w:tcBorders>
          </w:tcPr>
          <w:p w:rsidR="00D076F0" w:rsidRDefault="002749EF">
            <w:pPr>
              <w:jc w:val="right"/>
            </w:pPr>
            <w:r>
              <w:t>2,482</w:t>
            </w:r>
          </w:p>
        </w:tc>
        <w:tc>
          <w:tcPr>
            <w:tcW w:w="1276" w:type="dxa"/>
            <w:tcBorders>
              <w:bottom w:val="single" w:sz="4" w:space="0" w:color="auto"/>
            </w:tcBorders>
          </w:tcPr>
          <w:p w:rsidR="00D076F0" w:rsidRDefault="002749EF">
            <w:pPr>
              <w:jc w:val="right"/>
            </w:pPr>
            <w:r>
              <w:t>1,661</w:t>
            </w:r>
          </w:p>
        </w:tc>
        <w:tc>
          <w:tcPr>
            <w:tcW w:w="992" w:type="dxa"/>
            <w:tcBorders>
              <w:bottom w:val="single" w:sz="4" w:space="0" w:color="auto"/>
            </w:tcBorders>
          </w:tcPr>
          <w:p w:rsidR="00D076F0" w:rsidRDefault="002749EF">
            <w:pPr>
              <w:jc w:val="right"/>
            </w:pPr>
            <w:r>
              <w:t>1,662</w:t>
            </w:r>
          </w:p>
        </w:tc>
        <w:tc>
          <w:tcPr>
            <w:tcW w:w="1134" w:type="dxa"/>
            <w:tcBorders>
              <w:bottom w:val="single" w:sz="4" w:space="0" w:color="auto"/>
            </w:tcBorders>
          </w:tcPr>
          <w:p w:rsidR="00D076F0" w:rsidRDefault="002749EF">
            <w:pPr>
              <w:jc w:val="right"/>
            </w:pPr>
            <w:r>
              <w:t>3</w:t>
            </w:r>
          </w:p>
        </w:tc>
        <w:tc>
          <w:tcPr>
            <w:tcW w:w="1276" w:type="dxa"/>
            <w:tcBorders>
              <w:bottom w:val="single" w:sz="4" w:space="0" w:color="auto"/>
            </w:tcBorders>
          </w:tcPr>
          <w:p w:rsidR="00D076F0" w:rsidRDefault="002749EF">
            <w:pPr>
              <w:jc w:val="right"/>
            </w:pPr>
            <w:r>
              <w:t>-</w:t>
            </w:r>
          </w:p>
        </w:tc>
        <w:tc>
          <w:tcPr>
            <w:tcW w:w="1701" w:type="dxa"/>
            <w:tcBorders>
              <w:bottom w:val="single" w:sz="4" w:space="0" w:color="auto"/>
            </w:tcBorders>
          </w:tcPr>
          <w:p w:rsidR="00D076F0" w:rsidRDefault="002749EF">
            <w:pPr>
              <w:jc w:val="right"/>
            </w:pPr>
            <w:r>
              <w:t>-</w:t>
            </w:r>
          </w:p>
        </w:tc>
      </w:tr>
      <w:tr w:rsidR="00D076F0">
        <w:trPr>
          <w:cantSplit/>
        </w:trPr>
        <w:tc>
          <w:tcPr>
            <w:tcW w:w="3600" w:type="dxa"/>
          </w:tcPr>
          <w:p w:rsidR="00D076F0" w:rsidRDefault="002749EF">
            <w:pPr>
              <w:ind w:left="858" w:hanging="252"/>
            </w:pPr>
            <w:r>
              <w:t>Total</w:t>
            </w:r>
          </w:p>
        </w:tc>
        <w:tc>
          <w:tcPr>
            <w:tcW w:w="1078" w:type="dxa"/>
          </w:tcPr>
          <w:p w:rsidR="00D076F0" w:rsidRDefault="002749EF">
            <w:pPr>
              <w:jc w:val="right"/>
            </w:pPr>
            <w:r>
              <w:t>10,000</w:t>
            </w:r>
          </w:p>
        </w:tc>
        <w:tc>
          <w:tcPr>
            <w:tcW w:w="1276" w:type="dxa"/>
          </w:tcPr>
          <w:p w:rsidR="00D076F0" w:rsidRDefault="002749EF">
            <w:pPr>
              <w:jc w:val="right"/>
            </w:pPr>
            <w:r>
              <w:t>10,000</w:t>
            </w:r>
          </w:p>
        </w:tc>
        <w:tc>
          <w:tcPr>
            <w:tcW w:w="1276" w:type="dxa"/>
          </w:tcPr>
          <w:p w:rsidR="00D076F0" w:rsidRDefault="002749EF">
            <w:pPr>
              <w:jc w:val="right"/>
            </w:pPr>
            <w:r>
              <w:t>6,200</w:t>
            </w:r>
          </w:p>
        </w:tc>
        <w:tc>
          <w:tcPr>
            <w:tcW w:w="992" w:type="dxa"/>
          </w:tcPr>
          <w:p w:rsidR="00D076F0" w:rsidRDefault="002749EF">
            <w:pPr>
              <w:jc w:val="right"/>
            </w:pPr>
            <w:r>
              <w:t>3,325</w:t>
            </w:r>
          </w:p>
        </w:tc>
        <w:tc>
          <w:tcPr>
            <w:tcW w:w="1134" w:type="dxa"/>
          </w:tcPr>
          <w:p w:rsidR="00D076F0" w:rsidRDefault="002749EF">
            <w:pPr>
              <w:jc w:val="right"/>
            </w:pPr>
            <w:r>
              <w:t>1,000</w:t>
            </w:r>
          </w:p>
        </w:tc>
        <w:tc>
          <w:tcPr>
            <w:tcW w:w="1276" w:type="dxa"/>
          </w:tcPr>
          <w:p w:rsidR="00D076F0" w:rsidRDefault="002749EF">
            <w:pPr>
              <w:jc w:val="right"/>
            </w:pPr>
            <w:r>
              <w:t>32,767</w:t>
            </w:r>
          </w:p>
        </w:tc>
        <w:tc>
          <w:tcPr>
            <w:tcW w:w="1701" w:type="dxa"/>
          </w:tcPr>
          <w:p w:rsidR="00D076F0" w:rsidRDefault="002749EF">
            <w:pPr>
              <w:jc w:val="right"/>
            </w:pPr>
            <w:r>
              <w:t>702</w:t>
            </w:r>
          </w:p>
        </w:tc>
      </w:tr>
      <w:tr w:rsidR="00D076F0">
        <w:trPr>
          <w:cantSplit/>
        </w:trPr>
        <w:tc>
          <w:tcPr>
            <w:tcW w:w="3600" w:type="dxa"/>
          </w:tcPr>
          <w:p w:rsidR="00D076F0" w:rsidRDefault="002749EF">
            <w:pPr>
              <w:ind w:left="858" w:hanging="252"/>
            </w:pPr>
            <w:r>
              <w:t>Effect of Inflation Accounting</w:t>
            </w:r>
          </w:p>
        </w:tc>
        <w:tc>
          <w:tcPr>
            <w:tcW w:w="1078" w:type="dxa"/>
          </w:tcPr>
          <w:p w:rsidR="00D076F0" w:rsidRDefault="002749EF">
            <w:pPr>
              <w:jc w:val="right"/>
            </w:pPr>
            <w:r>
              <w:t>10,806</w:t>
            </w:r>
          </w:p>
        </w:tc>
        <w:tc>
          <w:tcPr>
            <w:tcW w:w="1276" w:type="dxa"/>
            <w:tcBorders>
              <w:bottom w:val="single" w:sz="4" w:space="0" w:color="auto"/>
            </w:tcBorders>
          </w:tcPr>
          <w:p w:rsidR="00D076F0" w:rsidRDefault="002749EF">
            <w:pPr>
              <w:jc w:val="right"/>
            </w:pPr>
            <w:r>
              <w:t>16,108</w:t>
            </w:r>
          </w:p>
        </w:tc>
        <w:tc>
          <w:tcPr>
            <w:tcW w:w="1276" w:type="dxa"/>
            <w:tcBorders>
              <w:bottom w:val="single" w:sz="4" w:space="0" w:color="auto"/>
            </w:tcBorders>
          </w:tcPr>
          <w:p w:rsidR="00D076F0" w:rsidRDefault="002749EF">
            <w:pPr>
              <w:jc w:val="right"/>
            </w:pPr>
            <w:r>
              <w:t>10,452</w:t>
            </w:r>
          </w:p>
        </w:tc>
        <w:tc>
          <w:tcPr>
            <w:tcW w:w="992" w:type="dxa"/>
            <w:tcBorders>
              <w:bottom w:val="single" w:sz="4" w:space="0" w:color="auto"/>
            </w:tcBorders>
          </w:tcPr>
          <w:p w:rsidR="00D076F0" w:rsidRDefault="002749EF">
            <w:pPr>
              <w:jc w:val="right"/>
            </w:pPr>
            <w:r>
              <w:t>5,701</w:t>
            </w:r>
          </w:p>
        </w:tc>
        <w:tc>
          <w:tcPr>
            <w:tcW w:w="1134" w:type="dxa"/>
            <w:tcBorders>
              <w:bottom w:val="single" w:sz="4" w:space="0" w:color="auto"/>
            </w:tcBorders>
          </w:tcPr>
          <w:p w:rsidR="00D076F0" w:rsidRDefault="002749EF">
            <w:pPr>
              <w:jc w:val="right"/>
            </w:pPr>
            <w:r>
              <w:t>1,476</w:t>
            </w:r>
          </w:p>
        </w:tc>
        <w:tc>
          <w:tcPr>
            <w:tcW w:w="1276" w:type="dxa"/>
            <w:tcBorders>
              <w:bottom w:val="single" w:sz="4" w:space="0" w:color="auto"/>
            </w:tcBorders>
          </w:tcPr>
          <w:p w:rsidR="00D076F0" w:rsidRDefault="002749EF">
            <w:pPr>
              <w:jc w:val="right"/>
            </w:pPr>
            <w:r>
              <w:t>-</w:t>
            </w:r>
          </w:p>
        </w:tc>
        <w:tc>
          <w:tcPr>
            <w:tcW w:w="1701" w:type="dxa"/>
            <w:tcBorders>
              <w:bottom w:val="single" w:sz="4" w:space="0" w:color="auto"/>
            </w:tcBorders>
          </w:tcPr>
          <w:p w:rsidR="00D076F0" w:rsidRDefault="002749EF">
            <w:pPr>
              <w:jc w:val="right"/>
            </w:pPr>
            <w:r>
              <w:t>-</w:t>
            </w:r>
          </w:p>
        </w:tc>
      </w:tr>
      <w:tr w:rsidR="00D076F0">
        <w:trPr>
          <w:cantSplit/>
        </w:trPr>
        <w:tc>
          <w:tcPr>
            <w:tcW w:w="3600" w:type="dxa"/>
          </w:tcPr>
          <w:p w:rsidR="00D076F0" w:rsidRDefault="002749EF">
            <w:pPr>
              <w:ind w:left="858" w:hanging="252"/>
            </w:pPr>
            <w:r>
              <w:t xml:space="preserve">Total Share </w:t>
            </w:r>
            <w:r>
              <w:t>Capital</w:t>
            </w:r>
          </w:p>
        </w:tc>
        <w:tc>
          <w:tcPr>
            <w:tcW w:w="1078" w:type="dxa"/>
            <w:tcBorders>
              <w:top w:val="single" w:sz="4" w:space="0" w:color="auto"/>
              <w:bottom w:val="double" w:sz="4" w:space="0" w:color="auto"/>
            </w:tcBorders>
          </w:tcPr>
          <w:p w:rsidR="00D076F0" w:rsidRDefault="002749EF">
            <w:pPr>
              <w:jc w:val="right"/>
            </w:pPr>
            <w:r>
              <w:t>20,806</w:t>
            </w:r>
          </w:p>
        </w:tc>
        <w:tc>
          <w:tcPr>
            <w:tcW w:w="1276" w:type="dxa"/>
            <w:tcBorders>
              <w:bottom w:val="double" w:sz="4" w:space="0" w:color="auto"/>
            </w:tcBorders>
          </w:tcPr>
          <w:p w:rsidR="00D076F0" w:rsidRDefault="002749EF">
            <w:pPr>
              <w:jc w:val="right"/>
            </w:pPr>
            <w:r>
              <w:t>26,108</w:t>
            </w:r>
          </w:p>
        </w:tc>
        <w:tc>
          <w:tcPr>
            <w:tcW w:w="1276" w:type="dxa"/>
            <w:tcBorders>
              <w:bottom w:val="double" w:sz="4" w:space="0" w:color="auto"/>
            </w:tcBorders>
          </w:tcPr>
          <w:p w:rsidR="00D076F0" w:rsidRDefault="002749EF">
            <w:pPr>
              <w:jc w:val="right"/>
            </w:pPr>
            <w:r>
              <w:t>16,652</w:t>
            </w:r>
          </w:p>
        </w:tc>
        <w:tc>
          <w:tcPr>
            <w:tcW w:w="992" w:type="dxa"/>
            <w:tcBorders>
              <w:bottom w:val="double" w:sz="4" w:space="0" w:color="auto"/>
            </w:tcBorders>
          </w:tcPr>
          <w:p w:rsidR="00D076F0" w:rsidRDefault="002749EF">
            <w:pPr>
              <w:jc w:val="right"/>
            </w:pPr>
            <w:r>
              <w:t>9,026</w:t>
            </w:r>
          </w:p>
        </w:tc>
        <w:tc>
          <w:tcPr>
            <w:tcW w:w="1134" w:type="dxa"/>
            <w:tcBorders>
              <w:bottom w:val="double" w:sz="4" w:space="0" w:color="auto"/>
            </w:tcBorders>
          </w:tcPr>
          <w:p w:rsidR="00D076F0" w:rsidRDefault="002749EF">
            <w:pPr>
              <w:jc w:val="right"/>
            </w:pPr>
            <w:r>
              <w:t>2,476</w:t>
            </w:r>
          </w:p>
        </w:tc>
        <w:tc>
          <w:tcPr>
            <w:tcW w:w="1276" w:type="dxa"/>
            <w:tcBorders>
              <w:bottom w:val="double" w:sz="4" w:space="0" w:color="auto"/>
            </w:tcBorders>
          </w:tcPr>
          <w:p w:rsidR="00D076F0" w:rsidRDefault="002749EF">
            <w:pPr>
              <w:jc w:val="right"/>
            </w:pPr>
            <w:r>
              <w:t>32,767</w:t>
            </w:r>
          </w:p>
        </w:tc>
        <w:tc>
          <w:tcPr>
            <w:tcW w:w="1701" w:type="dxa"/>
            <w:tcBorders>
              <w:bottom w:val="double" w:sz="4" w:space="0" w:color="auto"/>
            </w:tcBorders>
          </w:tcPr>
          <w:p w:rsidR="00D076F0" w:rsidRDefault="002749EF">
            <w:pPr>
              <w:jc w:val="right"/>
            </w:pPr>
            <w:r>
              <w:t>702</w:t>
            </w:r>
          </w:p>
        </w:tc>
      </w:tr>
    </w:tbl>
    <w:p w:rsidR="00D076F0" w:rsidRDefault="00D076F0">
      <w:pPr>
        <w:tabs>
          <w:tab w:val="left" w:pos="1584"/>
        </w:tabs>
        <w:ind w:right="14"/>
        <w:rPr>
          <w:sz w:val="20"/>
        </w:rPr>
      </w:pPr>
    </w:p>
    <w:p w:rsidR="00D076F0" w:rsidRDefault="002749EF">
      <w:pPr>
        <w:tabs>
          <w:tab w:val="left" w:pos="1584"/>
        </w:tabs>
        <w:ind w:right="14"/>
        <w:rPr>
          <w:sz w:val="20"/>
        </w:rPr>
      </w:pPr>
      <w:r>
        <w:rPr>
          <w:sz w:val="20"/>
        </w:rPr>
        <w:t>(*)Turkish lira equivalent translated by the period end foreign exchange rate.</w:t>
      </w:r>
    </w:p>
    <w:p w:rsidR="00D076F0" w:rsidRDefault="00D076F0">
      <w:pPr>
        <w:tabs>
          <w:tab w:val="left" w:pos="1584"/>
        </w:tabs>
        <w:ind w:right="14"/>
        <w:jc w:val="center"/>
      </w:pPr>
    </w:p>
    <w:p w:rsidR="00D076F0" w:rsidRDefault="00D076F0">
      <w:pPr>
        <w:tabs>
          <w:tab w:val="left" w:pos="1584"/>
        </w:tabs>
        <w:ind w:right="14"/>
        <w:jc w:val="both"/>
        <w:sectPr w:rsidR="00D076F0">
          <w:type w:val="oddPage"/>
          <w:pgSz w:w="16834" w:h="11909" w:orient="landscape" w:code="9"/>
          <w:pgMar w:top="1440" w:right="1440" w:bottom="1440" w:left="1440" w:header="708" w:footer="708" w:gutter="0"/>
          <w:cols w:space="708"/>
          <w:noEndnote/>
          <w:titlePg/>
        </w:sectPr>
      </w:pPr>
    </w:p>
    <w:p w:rsidR="00D076F0" w:rsidRDefault="002749EF">
      <w:pPr>
        <w:pStyle w:val="BodyText2"/>
        <w:jc w:val="center"/>
      </w:pPr>
      <w:r>
        <w:t>-3-</w:t>
      </w:r>
    </w:p>
    <w:p w:rsidR="00D076F0" w:rsidRDefault="00D076F0">
      <w:pPr>
        <w:tabs>
          <w:tab w:val="left" w:pos="576"/>
          <w:tab w:val="left" w:pos="864"/>
          <w:tab w:val="left" w:pos="1584"/>
          <w:tab w:val="left" w:pos="2016"/>
          <w:tab w:val="left" w:pos="4032"/>
        </w:tabs>
        <w:ind w:right="14"/>
        <w:jc w:val="center"/>
      </w:pPr>
    </w:p>
    <w:p w:rsidR="00D076F0" w:rsidRDefault="002749EF">
      <w:pPr>
        <w:tabs>
          <w:tab w:val="left" w:pos="576"/>
          <w:tab w:val="left" w:pos="864"/>
          <w:tab w:val="left" w:pos="1584"/>
          <w:tab w:val="left" w:pos="2016"/>
          <w:tab w:val="left" w:pos="4032"/>
        </w:tabs>
        <w:ind w:right="14"/>
        <w:jc w:val="center"/>
      </w:pPr>
      <w:r>
        <w:t xml:space="preserve"> (CONVENIENCE TRANSLATION OF A REPORT AND FINANCIAL STATEMENTS ORIGINALLY ISSUED IN TURKISH – SEE NOTE 9)</w:t>
      </w:r>
    </w:p>
    <w:p w:rsidR="00D076F0" w:rsidRDefault="00D076F0">
      <w:pPr>
        <w:tabs>
          <w:tab w:val="left" w:pos="1584"/>
        </w:tabs>
      </w:pPr>
    </w:p>
    <w:p w:rsidR="00D076F0" w:rsidRDefault="00D076F0">
      <w:pPr>
        <w:tabs>
          <w:tab w:val="left" w:pos="1584"/>
        </w:tabs>
      </w:pPr>
    </w:p>
    <w:p w:rsidR="00D076F0" w:rsidRDefault="002749EF">
      <w:pPr>
        <w:tabs>
          <w:tab w:val="left" w:pos="864"/>
          <w:tab w:val="left" w:pos="2160"/>
          <w:tab w:val="left" w:pos="8280"/>
        </w:tabs>
        <w:ind w:right="14"/>
        <w:rPr>
          <w:b/>
        </w:rPr>
      </w:pPr>
      <w:r>
        <w:rPr>
          <w:b/>
        </w:rPr>
        <w:t xml:space="preserve">(2) CHANGES IN THE STRUCTURE OF THE CONSOLIDATED SUBSIDIARIES </w:t>
      </w:r>
    </w:p>
    <w:p w:rsidR="00D076F0" w:rsidRDefault="002749EF">
      <w:pPr>
        <w:tabs>
          <w:tab w:val="left" w:pos="864"/>
          <w:tab w:val="left" w:pos="2160"/>
          <w:tab w:val="left" w:pos="8280"/>
        </w:tabs>
        <w:ind w:right="14"/>
      </w:pPr>
      <w:r>
        <w:rPr>
          <w:b/>
          <w:u w:val="single"/>
        </w:rPr>
        <w:t xml:space="preserve">      AS COMPARED TO THE PRIOR PERIODS                                             :</w:t>
      </w:r>
    </w:p>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14"/>
      </w:pPr>
      <w:r>
        <w:t>None.</w:t>
      </w:r>
    </w:p>
    <w:p w:rsidR="00D076F0" w:rsidRDefault="00D076F0">
      <w:pPr>
        <w:tabs>
          <w:tab w:val="left" w:pos="864"/>
          <w:tab w:val="left" w:pos="2160"/>
          <w:tab w:val="left" w:pos="8280"/>
        </w:tabs>
        <w:ind w:right="14"/>
      </w:pPr>
    </w:p>
    <w:p w:rsidR="00D076F0" w:rsidRDefault="00D076F0">
      <w:pPr>
        <w:pStyle w:val="BodyText2"/>
      </w:pPr>
    </w:p>
    <w:p w:rsidR="00D076F0" w:rsidRDefault="002749EF">
      <w:pPr>
        <w:tabs>
          <w:tab w:val="left" w:pos="864"/>
          <w:tab w:val="left" w:pos="1584"/>
          <w:tab w:val="left" w:pos="7056"/>
          <w:tab w:val="left" w:pos="8496"/>
        </w:tabs>
        <w:ind w:left="426" w:right="14" w:hanging="426"/>
        <w:rPr>
          <w:b/>
          <w:u w:val="single"/>
        </w:rPr>
      </w:pPr>
      <w:r>
        <w:rPr>
          <w:b/>
          <w:u w:val="single"/>
        </w:rPr>
        <w:t>(3)  NON-CONSOLIDATED FINANCIAL INSTITUTIONS:</w:t>
      </w:r>
    </w:p>
    <w:p w:rsidR="00D076F0" w:rsidRDefault="00D076F0">
      <w:pPr>
        <w:pStyle w:val="BodyText"/>
        <w:tabs>
          <w:tab w:val="left" w:pos="864"/>
          <w:tab w:val="left" w:pos="7056"/>
          <w:tab w:val="left" w:pos="8496"/>
        </w:tabs>
      </w:pPr>
    </w:p>
    <w:p w:rsidR="00D076F0" w:rsidRDefault="002749EF">
      <w:pPr>
        <w:pStyle w:val="BodyText"/>
        <w:tabs>
          <w:tab w:val="left" w:pos="864"/>
          <w:tab w:val="left" w:pos="7056"/>
          <w:tab w:val="left" w:pos="8496"/>
        </w:tabs>
      </w:pPr>
      <w:r>
        <w:t>As of June 30, 2002, non-consolidated financial institutions are as follows:</w:t>
      </w:r>
    </w:p>
    <w:p w:rsidR="00D076F0" w:rsidRDefault="00D076F0">
      <w:pPr>
        <w:pStyle w:val="BodyText"/>
        <w:tabs>
          <w:tab w:val="left" w:pos="864"/>
          <w:tab w:val="left" w:pos="7056"/>
          <w:tab w:val="left" w:pos="8496"/>
        </w:tabs>
      </w:pPr>
    </w:p>
    <w:tbl>
      <w:tblPr>
        <w:tblW w:w="0" w:type="auto"/>
        <w:tblInd w:w="108" w:type="dxa"/>
        <w:tblLayout w:type="fixed"/>
        <w:tblLook w:val="0000" w:firstRow="0" w:lastRow="0" w:firstColumn="0" w:lastColumn="0" w:noHBand="0" w:noVBand="0"/>
      </w:tblPr>
      <w:tblGrid>
        <w:gridCol w:w="2988"/>
        <w:gridCol w:w="360"/>
        <w:gridCol w:w="432"/>
        <w:gridCol w:w="236"/>
        <w:gridCol w:w="1474"/>
        <w:gridCol w:w="236"/>
        <w:gridCol w:w="1474"/>
        <w:gridCol w:w="270"/>
        <w:gridCol w:w="1530"/>
      </w:tblGrid>
      <w:tr w:rsidR="00D076F0">
        <w:tc>
          <w:tcPr>
            <w:tcW w:w="2988" w:type="dxa"/>
          </w:tcPr>
          <w:p w:rsidR="00D076F0" w:rsidRDefault="00D076F0">
            <w:pPr>
              <w:pStyle w:val="BodyText"/>
              <w:tabs>
                <w:tab w:val="left" w:pos="864"/>
                <w:tab w:val="left" w:pos="7056"/>
                <w:tab w:val="left" w:pos="8496"/>
              </w:tabs>
              <w:ind w:left="180" w:hanging="180"/>
              <w:rPr>
                <w:sz w:val="18"/>
              </w:rPr>
            </w:pPr>
          </w:p>
        </w:tc>
        <w:tc>
          <w:tcPr>
            <w:tcW w:w="360" w:type="dxa"/>
          </w:tcPr>
          <w:p w:rsidR="00D076F0" w:rsidRDefault="00D076F0">
            <w:pPr>
              <w:pStyle w:val="BodyText"/>
              <w:tabs>
                <w:tab w:val="left" w:pos="864"/>
                <w:tab w:val="left" w:pos="7056"/>
                <w:tab w:val="left" w:pos="8496"/>
              </w:tabs>
              <w:rPr>
                <w:sz w:val="18"/>
              </w:rPr>
            </w:pPr>
          </w:p>
        </w:tc>
        <w:tc>
          <w:tcPr>
            <w:tcW w:w="432" w:type="dxa"/>
          </w:tcPr>
          <w:p w:rsidR="00D076F0" w:rsidRDefault="00D076F0">
            <w:pPr>
              <w:pStyle w:val="BodyText"/>
              <w:tabs>
                <w:tab w:val="left" w:pos="864"/>
                <w:tab w:val="left" w:pos="7056"/>
                <w:tab w:val="left" w:pos="8496"/>
              </w:tabs>
              <w:ind w:left="101" w:right="0" w:hanging="101"/>
              <w:jc w:val="center"/>
              <w:rPr>
                <w:sz w:val="18"/>
              </w:rPr>
            </w:pPr>
          </w:p>
        </w:tc>
        <w:tc>
          <w:tcPr>
            <w:tcW w:w="236" w:type="dxa"/>
          </w:tcPr>
          <w:p w:rsidR="00D076F0" w:rsidRDefault="00D076F0">
            <w:pPr>
              <w:pStyle w:val="BodyText"/>
              <w:tabs>
                <w:tab w:val="left" w:pos="864"/>
                <w:tab w:val="left" w:pos="7056"/>
                <w:tab w:val="left" w:pos="8496"/>
              </w:tabs>
              <w:jc w:val="center"/>
              <w:rPr>
                <w:sz w:val="18"/>
              </w:rPr>
            </w:pPr>
          </w:p>
        </w:tc>
        <w:tc>
          <w:tcPr>
            <w:tcW w:w="1474" w:type="dxa"/>
            <w:tcBorders>
              <w:bottom w:val="single" w:sz="4" w:space="0" w:color="auto"/>
            </w:tcBorders>
          </w:tcPr>
          <w:p w:rsidR="00D076F0" w:rsidRDefault="002749EF">
            <w:pPr>
              <w:pStyle w:val="BodyText"/>
              <w:tabs>
                <w:tab w:val="left" w:pos="864"/>
                <w:tab w:val="left" w:pos="7056"/>
                <w:tab w:val="left" w:pos="8496"/>
              </w:tabs>
              <w:ind w:left="101" w:right="0" w:hanging="101"/>
              <w:jc w:val="center"/>
              <w:rPr>
                <w:sz w:val="18"/>
              </w:rPr>
            </w:pPr>
            <w:r>
              <w:rPr>
                <w:sz w:val="18"/>
              </w:rPr>
              <w:t>1</w:t>
            </w:r>
          </w:p>
        </w:tc>
        <w:tc>
          <w:tcPr>
            <w:tcW w:w="236" w:type="dxa"/>
          </w:tcPr>
          <w:p w:rsidR="00D076F0" w:rsidRDefault="00D076F0">
            <w:pPr>
              <w:pStyle w:val="BodyText"/>
              <w:tabs>
                <w:tab w:val="left" w:pos="864"/>
                <w:tab w:val="left" w:pos="7056"/>
                <w:tab w:val="left" w:pos="8496"/>
              </w:tabs>
              <w:jc w:val="center"/>
              <w:rPr>
                <w:sz w:val="18"/>
              </w:rPr>
            </w:pPr>
          </w:p>
        </w:tc>
        <w:tc>
          <w:tcPr>
            <w:tcW w:w="1474" w:type="dxa"/>
            <w:tcBorders>
              <w:bottom w:val="single" w:sz="4" w:space="0" w:color="auto"/>
            </w:tcBorders>
          </w:tcPr>
          <w:p w:rsidR="00D076F0" w:rsidRDefault="002749EF">
            <w:pPr>
              <w:pStyle w:val="BodyText"/>
              <w:tabs>
                <w:tab w:val="left" w:pos="864"/>
                <w:tab w:val="left" w:pos="7056"/>
                <w:tab w:val="left" w:pos="8496"/>
              </w:tabs>
              <w:ind w:left="101" w:right="0" w:hanging="101"/>
              <w:jc w:val="center"/>
              <w:rPr>
                <w:sz w:val="18"/>
              </w:rPr>
            </w:pPr>
            <w:r>
              <w:rPr>
                <w:sz w:val="18"/>
              </w:rPr>
              <w:t>2</w:t>
            </w:r>
          </w:p>
        </w:tc>
        <w:tc>
          <w:tcPr>
            <w:tcW w:w="270" w:type="dxa"/>
          </w:tcPr>
          <w:p w:rsidR="00D076F0" w:rsidRDefault="00D076F0">
            <w:pPr>
              <w:pStyle w:val="BodyText"/>
              <w:tabs>
                <w:tab w:val="left" w:pos="864"/>
                <w:tab w:val="left" w:pos="7056"/>
                <w:tab w:val="left" w:pos="8496"/>
              </w:tabs>
              <w:jc w:val="center"/>
              <w:rPr>
                <w:sz w:val="18"/>
              </w:rPr>
            </w:pPr>
          </w:p>
        </w:tc>
        <w:tc>
          <w:tcPr>
            <w:tcW w:w="1530" w:type="dxa"/>
          </w:tcPr>
          <w:p w:rsidR="00D076F0" w:rsidRDefault="00D076F0">
            <w:pPr>
              <w:pStyle w:val="BodyText"/>
              <w:tabs>
                <w:tab w:val="left" w:pos="864"/>
                <w:tab w:val="left" w:pos="7056"/>
                <w:tab w:val="left" w:pos="8496"/>
              </w:tabs>
              <w:ind w:left="101" w:right="0" w:hanging="101"/>
              <w:jc w:val="center"/>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 xml:space="preserve">Name of financial </w:t>
            </w:r>
          </w:p>
          <w:p w:rsidR="00D076F0" w:rsidRDefault="002749EF">
            <w:pPr>
              <w:pStyle w:val="BodyText"/>
              <w:tabs>
                <w:tab w:val="left" w:pos="864"/>
                <w:tab w:val="left" w:pos="7056"/>
                <w:tab w:val="left" w:pos="8496"/>
              </w:tabs>
              <w:ind w:left="180" w:hanging="180"/>
              <w:rPr>
                <w:sz w:val="18"/>
              </w:rPr>
            </w:pPr>
            <w:r>
              <w:rPr>
                <w:sz w:val="18"/>
              </w:rPr>
              <w:t xml:space="preserve">      instruction </w:t>
            </w:r>
          </w:p>
        </w:tc>
        <w:tc>
          <w:tcPr>
            <w:tcW w:w="360" w:type="dxa"/>
          </w:tcPr>
          <w:p w:rsidR="00D076F0" w:rsidRDefault="00D076F0">
            <w:pPr>
              <w:pStyle w:val="BodyText"/>
              <w:tabs>
                <w:tab w:val="left" w:pos="864"/>
                <w:tab w:val="left" w:pos="7056"/>
                <w:tab w:val="left" w:pos="8496"/>
              </w:tabs>
              <w:rPr>
                <w:sz w:val="18"/>
              </w:rPr>
            </w:pPr>
          </w:p>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center"/>
              <w:rPr>
                <w:sz w:val="18"/>
              </w:rPr>
            </w:pPr>
            <w:r>
              <w:rPr>
                <w:sz w:val="18"/>
              </w:rPr>
              <w:t>Varlık Yatırım Ortaklığı A.Ş. (*)</w:t>
            </w:r>
          </w:p>
        </w:tc>
        <w:tc>
          <w:tcPr>
            <w:tcW w:w="236" w:type="dxa"/>
          </w:tcPr>
          <w:p w:rsidR="00D076F0" w:rsidRDefault="00D076F0">
            <w:pPr>
              <w:pStyle w:val="BodyText"/>
              <w:tabs>
                <w:tab w:val="left" w:pos="864"/>
                <w:tab w:val="left" w:pos="7056"/>
                <w:tab w:val="left" w:pos="8496"/>
              </w:tabs>
              <w:jc w:val="center"/>
              <w:rPr>
                <w:sz w:val="18"/>
              </w:rPr>
            </w:pPr>
          </w:p>
        </w:tc>
        <w:tc>
          <w:tcPr>
            <w:tcW w:w="1474" w:type="dxa"/>
          </w:tcPr>
          <w:p w:rsidR="00D076F0" w:rsidRDefault="002749EF">
            <w:pPr>
              <w:pStyle w:val="BodyText"/>
              <w:tabs>
                <w:tab w:val="left" w:pos="864"/>
                <w:tab w:val="left" w:pos="7056"/>
                <w:tab w:val="left" w:pos="8496"/>
              </w:tabs>
              <w:ind w:left="101" w:right="0" w:hanging="101"/>
              <w:jc w:val="center"/>
              <w:rPr>
                <w:sz w:val="18"/>
              </w:rPr>
            </w:pPr>
            <w:r>
              <w:rPr>
                <w:sz w:val="18"/>
              </w:rPr>
              <w:t>TEB Kıymetli Madenler A.Ş.</w:t>
            </w:r>
          </w:p>
          <w:p w:rsidR="00D076F0" w:rsidRDefault="002749EF">
            <w:pPr>
              <w:pStyle w:val="BodyText"/>
              <w:tabs>
                <w:tab w:val="left" w:pos="864"/>
                <w:tab w:val="left" w:pos="7056"/>
                <w:tab w:val="left" w:pos="8496"/>
              </w:tabs>
              <w:ind w:left="101" w:right="0" w:hanging="101"/>
              <w:jc w:val="center"/>
              <w:rPr>
                <w:sz w:val="18"/>
              </w:rPr>
            </w:pPr>
            <w:r>
              <w:rPr>
                <w:sz w:val="18"/>
              </w:rPr>
              <w:t>(*)</w:t>
            </w:r>
          </w:p>
        </w:tc>
        <w:tc>
          <w:tcPr>
            <w:tcW w:w="270" w:type="dxa"/>
          </w:tcPr>
          <w:p w:rsidR="00D076F0" w:rsidRDefault="00D076F0">
            <w:pPr>
              <w:pStyle w:val="BodyText"/>
              <w:tabs>
                <w:tab w:val="left" w:pos="864"/>
                <w:tab w:val="left" w:pos="7056"/>
                <w:tab w:val="left" w:pos="8496"/>
              </w:tabs>
              <w:jc w:val="center"/>
              <w:rPr>
                <w:sz w:val="18"/>
              </w:rPr>
            </w:pPr>
          </w:p>
        </w:tc>
        <w:tc>
          <w:tcPr>
            <w:tcW w:w="1530" w:type="dxa"/>
          </w:tcPr>
          <w:p w:rsidR="00D076F0" w:rsidRDefault="00D076F0">
            <w:pPr>
              <w:pStyle w:val="BodyText"/>
              <w:tabs>
                <w:tab w:val="left" w:pos="864"/>
                <w:tab w:val="left" w:pos="7056"/>
                <w:tab w:val="left" w:pos="8496"/>
              </w:tabs>
              <w:ind w:left="101" w:right="0" w:hanging="101"/>
              <w:jc w:val="center"/>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Head office</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İstanbul</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İstanbul</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Asset total</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1,572</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303</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Shareholder’s equity</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1,268</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 xml:space="preserve">283 </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Consolidated companies share</w:t>
            </w:r>
          </w:p>
          <w:p w:rsidR="00D076F0" w:rsidRDefault="002749EF">
            <w:pPr>
              <w:pStyle w:val="BodyText"/>
              <w:tabs>
                <w:tab w:val="left" w:pos="864"/>
                <w:tab w:val="left" w:pos="7056"/>
                <w:tab w:val="left" w:pos="8496"/>
              </w:tabs>
              <w:ind w:left="180" w:hanging="180"/>
              <w:rPr>
                <w:sz w:val="18"/>
              </w:rPr>
            </w:pPr>
            <w:r>
              <w:rPr>
                <w:sz w:val="18"/>
              </w:rPr>
              <w:t xml:space="preserve">     in the shareholders’ equity</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D076F0">
            <w:pPr>
              <w:pStyle w:val="BodyText"/>
              <w:tabs>
                <w:tab w:val="left" w:pos="864"/>
                <w:tab w:val="left" w:pos="7056"/>
                <w:tab w:val="left" w:pos="8496"/>
              </w:tabs>
              <w:ind w:left="101" w:right="0" w:hanging="101"/>
              <w:jc w:val="right"/>
              <w:rPr>
                <w:sz w:val="18"/>
              </w:rPr>
            </w:pPr>
          </w:p>
          <w:p w:rsidR="00D076F0" w:rsidRDefault="002749EF">
            <w:pPr>
              <w:pStyle w:val="BodyText"/>
              <w:tabs>
                <w:tab w:val="left" w:pos="864"/>
                <w:tab w:val="left" w:pos="7056"/>
                <w:tab w:val="left" w:pos="8496"/>
              </w:tabs>
              <w:ind w:left="101" w:right="0" w:hanging="101"/>
              <w:jc w:val="right"/>
              <w:rPr>
                <w:sz w:val="18"/>
              </w:rPr>
            </w:pPr>
            <w:r>
              <w:rPr>
                <w:sz w:val="18"/>
              </w:rPr>
              <w:t>431</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D076F0">
            <w:pPr>
              <w:pStyle w:val="BodyText"/>
              <w:tabs>
                <w:tab w:val="left" w:pos="864"/>
                <w:tab w:val="left" w:pos="7056"/>
                <w:tab w:val="left" w:pos="8496"/>
              </w:tabs>
              <w:ind w:left="101" w:right="0" w:hanging="101"/>
              <w:jc w:val="right"/>
              <w:rPr>
                <w:sz w:val="18"/>
              </w:rPr>
            </w:pPr>
          </w:p>
          <w:p w:rsidR="00D076F0" w:rsidRDefault="002749EF">
            <w:pPr>
              <w:pStyle w:val="BodyText"/>
              <w:tabs>
                <w:tab w:val="left" w:pos="864"/>
                <w:tab w:val="left" w:pos="7056"/>
                <w:tab w:val="left" w:pos="8496"/>
              </w:tabs>
              <w:ind w:left="101" w:right="0" w:hanging="101"/>
              <w:jc w:val="right"/>
              <w:rPr>
                <w:sz w:val="18"/>
              </w:rPr>
            </w:pPr>
            <w:r>
              <w:rPr>
                <w:sz w:val="18"/>
              </w:rPr>
              <w:t xml:space="preserve">- </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Interest income</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99</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 xml:space="preserve">- </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Marketable security income/</w:t>
            </w:r>
          </w:p>
          <w:p w:rsidR="00D076F0" w:rsidRDefault="002749EF">
            <w:pPr>
              <w:pStyle w:val="BodyText"/>
              <w:tabs>
                <w:tab w:val="left" w:pos="864"/>
                <w:tab w:val="left" w:pos="7056"/>
                <w:tab w:val="left" w:pos="8496"/>
              </w:tabs>
              <w:ind w:left="180" w:hanging="180"/>
              <w:rPr>
                <w:sz w:val="18"/>
              </w:rPr>
            </w:pPr>
            <w:r>
              <w:rPr>
                <w:sz w:val="18"/>
              </w:rPr>
              <w:t xml:space="preserve">     /(expense)</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D076F0">
            <w:pPr>
              <w:pStyle w:val="BodyText"/>
              <w:tabs>
                <w:tab w:val="left" w:pos="864"/>
                <w:tab w:val="left" w:pos="7056"/>
                <w:tab w:val="left" w:pos="8496"/>
              </w:tabs>
              <w:ind w:left="101" w:right="0" w:hanging="101"/>
              <w:jc w:val="right"/>
              <w:rPr>
                <w:sz w:val="18"/>
              </w:rPr>
            </w:pPr>
          </w:p>
          <w:p w:rsidR="00D076F0" w:rsidRDefault="002749EF">
            <w:pPr>
              <w:pStyle w:val="BodyText"/>
              <w:tabs>
                <w:tab w:val="left" w:pos="864"/>
                <w:tab w:val="left" w:pos="7056"/>
                <w:tab w:val="left" w:pos="8496"/>
              </w:tabs>
              <w:ind w:left="101" w:right="0" w:hanging="101"/>
              <w:jc w:val="right"/>
              <w:rPr>
                <w:sz w:val="18"/>
              </w:rPr>
            </w:pPr>
            <w:r>
              <w:rPr>
                <w:sz w:val="18"/>
              </w:rPr>
              <w:t>81</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D076F0">
            <w:pPr>
              <w:pStyle w:val="BodyText"/>
              <w:tabs>
                <w:tab w:val="left" w:pos="864"/>
                <w:tab w:val="left" w:pos="7056"/>
                <w:tab w:val="left" w:pos="8496"/>
              </w:tabs>
              <w:ind w:left="101" w:right="0" w:hanging="101"/>
              <w:jc w:val="right"/>
              <w:rPr>
                <w:sz w:val="18"/>
              </w:rPr>
            </w:pPr>
          </w:p>
          <w:p w:rsidR="00D076F0" w:rsidRDefault="002749EF">
            <w:pPr>
              <w:pStyle w:val="BodyText"/>
              <w:tabs>
                <w:tab w:val="left" w:pos="864"/>
                <w:tab w:val="left" w:pos="7056"/>
                <w:tab w:val="left" w:pos="8496"/>
              </w:tabs>
              <w:ind w:left="101" w:right="0" w:hanging="101"/>
              <w:jc w:val="right"/>
              <w:rPr>
                <w:sz w:val="18"/>
              </w:rPr>
            </w:pPr>
            <w:r>
              <w:rPr>
                <w:sz w:val="18"/>
              </w:rPr>
              <w:t xml:space="preserve">- </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Current year income/(loss)</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(48)</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 xml:space="preserve">52 </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Prior period income/(loss)</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762</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105</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Fixed asset total</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5</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 xml:space="preserve">27 </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r w:rsidR="00D076F0">
        <w:tc>
          <w:tcPr>
            <w:tcW w:w="2988" w:type="dxa"/>
          </w:tcPr>
          <w:p w:rsidR="00D076F0" w:rsidRDefault="002749EF">
            <w:pPr>
              <w:pStyle w:val="BodyText"/>
              <w:tabs>
                <w:tab w:val="left" w:pos="864"/>
                <w:tab w:val="left" w:pos="7056"/>
                <w:tab w:val="left" w:pos="8496"/>
              </w:tabs>
              <w:ind w:left="180" w:hanging="180"/>
              <w:rPr>
                <w:sz w:val="18"/>
              </w:rPr>
            </w:pPr>
            <w:r>
              <w:rPr>
                <w:sz w:val="18"/>
              </w:rPr>
              <w:t>Number of personnel</w:t>
            </w:r>
          </w:p>
        </w:tc>
        <w:tc>
          <w:tcPr>
            <w:tcW w:w="360" w:type="dxa"/>
          </w:tcPr>
          <w:p w:rsidR="00D076F0" w:rsidRDefault="002749EF">
            <w:pPr>
              <w:pStyle w:val="BodyText"/>
              <w:tabs>
                <w:tab w:val="left" w:pos="864"/>
                <w:tab w:val="left" w:pos="7056"/>
                <w:tab w:val="left" w:pos="8496"/>
              </w:tabs>
              <w:rPr>
                <w:sz w:val="18"/>
              </w:rPr>
            </w:pPr>
            <w:r>
              <w:rPr>
                <w:sz w:val="18"/>
              </w:rPr>
              <w:t>:</w:t>
            </w:r>
          </w:p>
        </w:tc>
        <w:tc>
          <w:tcPr>
            <w:tcW w:w="432" w:type="dxa"/>
          </w:tcPr>
          <w:p w:rsidR="00D076F0" w:rsidRDefault="00D076F0">
            <w:pPr>
              <w:pStyle w:val="BodyText"/>
              <w:tabs>
                <w:tab w:val="left" w:pos="864"/>
                <w:tab w:val="left" w:pos="7056"/>
                <w:tab w:val="left" w:pos="8496"/>
              </w:tabs>
              <w:ind w:left="101" w:right="0" w:hanging="101"/>
              <w:jc w:val="right"/>
              <w:rPr>
                <w:sz w:val="18"/>
              </w:rPr>
            </w:pP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3</w:t>
            </w:r>
          </w:p>
        </w:tc>
        <w:tc>
          <w:tcPr>
            <w:tcW w:w="236" w:type="dxa"/>
          </w:tcPr>
          <w:p w:rsidR="00D076F0" w:rsidRDefault="00D076F0">
            <w:pPr>
              <w:pStyle w:val="BodyText"/>
              <w:tabs>
                <w:tab w:val="left" w:pos="864"/>
                <w:tab w:val="left" w:pos="7056"/>
                <w:tab w:val="left" w:pos="8496"/>
              </w:tabs>
              <w:jc w:val="right"/>
              <w:rPr>
                <w:sz w:val="18"/>
              </w:rPr>
            </w:pPr>
          </w:p>
        </w:tc>
        <w:tc>
          <w:tcPr>
            <w:tcW w:w="1474" w:type="dxa"/>
          </w:tcPr>
          <w:p w:rsidR="00D076F0" w:rsidRDefault="002749EF">
            <w:pPr>
              <w:pStyle w:val="BodyText"/>
              <w:tabs>
                <w:tab w:val="left" w:pos="864"/>
                <w:tab w:val="left" w:pos="7056"/>
                <w:tab w:val="left" w:pos="8496"/>
              </w:tabs>
              <w:ind w:left="101" w:right="0" w:hanging="101"/>
              <w:jc w:val="right"/>
              <w:rPr>
                <w:sz w:val="18"/>
              </w:rPr>
            </w:pPr>
            <w:r>
              <w:rPr>
                <w:sz w:val="18"/>
              </w:rPr>
              <w:t xml:space="preserve">3 </w:t>
            </w:r>
          </w:p>
        </w:tc>
        <w:tc>
          <w:tcPr>
            <w:tcW w:w="270" w:type="dxa"/>
          </w:tcPr>
          <w:p w:rsidR="00D076F0" w:rsidRDefault="00D076F0">
            <w:pPr>
              <w:pStyle w:val="BodyText"/>
              <w:tabs>
                <w:tab w:val="left" w:pos="864"/>
                <w:tab w:val="left" w:pos="7056"/>
                <w:tab w:val="left" w:pos="8496"/>
              </w:tabs>
              <w:jc w:val="right"/>
              <w:rPr>
                <w:sz w:val="18"/>
              </w:rPr>
            </w:pPr>
          </w:p>
        </w:tc>
        <w:tc>
          <w:tcPr>
            <w:tcW w:w="1530" w:type="dxa"/>
          </w:tcPr>
          <w:p w:rsidR="00D076F0" w:rsidRDefault="00D076F0">
            <w:pPr>
              <w:pStyle w:val="BodyText"/>
              <w:tabs>
                <w:tab w:val="left" w:pos="864"/>
                <w:tab w:val="left" w:pos="7056"/>
                <w:tab w:val="left" w:pos="8496"/>
              </w:tabs>
              <w:ind w:left="101" w:right="0" w:hanging="101"/>
              <w:jc w:val="right"/>
              <w:rPr>
                <w:sz w:val="18"/>
              </w:rPr>
            </w:pPr>
          </w:p>
        </w:tc>
      </w:tr>
    </w:tbl>
    <w:p w:rsidR="00D076F0" w:rsidRDefault="00D076F0">
      <w:pPr>
        <w:rPr>
          <w:sz w:val="18"/>
        </w:rPr>
      </w:pPr>
    </w:p>
    <w:tbl>
      <w:tblPr>
        <w:tblW w:w="0" w:type="auto"/>
        <w:tblInd w:w="108" w:type="dxa"/>
        <w:tblLayout w:type="fixed"/>
        <w:tblLook w:val="0000" w:firstRow="0" w:lastRow="0" w:firstColumn="0" w:lastColumn="0" w:noHBand="0" w:noVBand="0"/>
      </w:tblPr>
      <w:tblGrid>
        <w:gridCol w:w="2988"/>
        <w:gridCol w:w="342"/>
        <w:gridCol w:w="4140"/>
      </w:tblGrid>
      <w:tr w:rsidR="00D076F0">
        <w:trPr>
          <w:cantSplit/>
        </w:trPr>
        <w:tc>
          <w:tcPr>
            <w:tcW w:w="2988" w:type="dxa"/>
          </w:tcPr>
          <w:p w:rsidR="00D076F0" w:rsidRDefault="002749EF">
            <w:pPr>
              <w:pStyle w:val="BodyText"/>
              <w:tabs>
                <w:tab w:val="left" w:pos="864"/>
                <w:tab w:val="left" w:pos="7056"/>
                <w:tab w:val="left" w:pos="8496"/>
              </w:tabs>
              <w:ind w:left="180" w:hanging="180"/>
              <w:rPr>
                <w:sz w:val="18"/>
              </w:rPr>
            </w:pPr>
            <w:r>
              <w:rPr>
                <w:sz w:val="18"/>
              </w:rPr>
              <w:t>Reason for not consolidating:</w:t>
            </w:r>
          </w:p>
        </w:tc>
        <w:tc>
          <w:tcPr>
            <w:tcW w:w="342" w:type="dxa"/>
          </w:tcPr>
          <w:p w:rsidR="00D076F0" w:rsidRDefault="002749EF">
            <w:pPr>
              <w:pStyle w:val="BodyText"/>
              <w:tabs>
                <w:tab w:val="left" w:pos="864"/>
                <w:tab w:val="left" w:pos="7056"/>
                <w:tab w:val="left" w:pos="8496"/>
              </w:tabs>
              <w:rPr>
                <w:sz w:val="18"/>
              </w:rPr>
            </w:pPr>
            <w:r>
              <w:rPr>
                <w:sz w:val="18"/>
              </w:rPr>
              <w:t>:</w:t>
            </w:r>
          </w:p>
        </w:tc>
        <w:tc>
          <w:tcPr>
            <w:tcW w:w="4140" w:type="dxa"/>
          </w:tcPr>
          <w:p w:rsidR="00D076F0" w:rsidRDefault="002749EF">
            <w:pPr>
              <w:pStyle w:val="BodyText"/>
              <w:tabs>
                <w:tab w:val="left" w:pos="864"/>
                <w:tab w:val="left" w:pos="7056"/>
                <w:tab w:val="left" w:pos="8496"/>
              </w:tabs>
              <w:ind w:left="196" w:hanging="196"/>
              <w:rPr>
                <w:sz w:val="18"/>
              </w:rPr>
            </w:pPr>
            <w:r>
              <w:rPr>
                <w:sz w:val="18"/>
              </w:rPr>
              <w:t xml:space="preserve">The asset total of the Company is less </w:t>
            </w:r>
            <w:r>
              <w:rPr>
                <w:sz w:val="18"/>
              </w:rPr>
              <w:t>than 1% of the asset total of the Parent</w:t>
            </w:r>
          </w:p>
        </w:tc>
      </w:tr>
    </w:tbl>
    <w:p w:rsidR="00D076F0" w:rsidRDefault="00D076F0">
      <w:pPr>
        <w:tabs>
          <w:tab w:val="left" w:pos="864"/>
          <w:tab w:val="left" w:pos="1584"/>
          <w:tab w:val="left" w:pos="7056"/>
          <w:tab w:val="left" w:pos="8496"/>
        </w:tabs>
        <w:ind w:right="14"/>
      </w:pPr>
    </w:p>
    <w:p w:rsidR="00D076F0" w:rsidRDefault="002749EF">
      <w:pPr>
        <w:tabs>
          <w:tab w:val="left" w:pos="864"/>
          <w:tab w:val="left" w:pos="1584"/>
          <w:tab w:val="left" w:pos="7056"/>
          <w:tab w:val="left" w:pos="8496"/>
        </w:tabs>
        <w:ind w:right="14"/>
        <w:rPr>
          <w:sz w:val="20"/>
        </w:rPr>
      </w:pPr>
      <w:r>
        <w:rPr>
          <w:sz w:val="20"/>
        </w:rPr>
        <w:t>(*)</w:t>
      </w:r>
      <w:r>
        <w:rPr>
          <w:b/>
          <w:sz w:val="20"/>
        </w:rPr>
        <w:t xml:space="preserve"> </w:t>
      </w:r>
      <w:r>
        <w:rPr>
          <w:sz w:val="20"/>
        </w:rPr>
        <w:t>Representing statutory historical amounts.</w:t>
      </w:r>
    </w:p>
    <w:p w:rsidR="00D076F0" w:rsidRDefault="00D076F0">
      <w:pPr>
        <w:tabs>
          <w:tab w:val="left" w:pos="864"/>
          <w:tab w:val="left" w:pos="1584"/>
          <w:tab w:val="left" w:pos="7056"/>
          <w:tab w:val="left" w:pos="8496"/>
        </w:tabs>
        <w:ind w:right="14"/>
        <w:rPr>
          <w:b/>
        </w:rPr>
      </w:pPr>
    </w:p>
    <w:p w:rsidR="00D076F0" w:rsidRDefault="00D076F0">
      <w:pPr>
        <w:tabs>
          <w:tab w:val="left" w:pos="864"/>
          <w:tab w:val="left" w:pos="1584"/>
          <w:tab w:val="left" w:pos="7056"/>
          <w:tab w:val="left" w:pos="8496"/>
        </w:tabs>
        <w:ind w:right="14"/>
        <w:rPr>
          <w:b/>
        </w:rPr>
      </w:pPr>
    </w:p>
    <w:p w:rsidR="00D076F0" w:rsidRDefault="002749EF">
      <w:pPr>
        <w:tabs>
          <w:tab w:val="left" w:pos="864"/>
          <w:tab w:val="left" w:pos="2160"/>
          <w:tab w:val="left" w:pos="8280"/>
        </w:tabs>
        <w:ind w:right="14"/>
        <w:rPr>
          <w:b/>
        </w:rPr>
      </w:pPr>
      <w:r>
        <w:rPr>
          <w:b/>
        </w:rPr>
        <w:t>(4)  CONSOLIDATED SUBSIDIARIES, PARTICIPATIONS OR AFFILIATES WHICH</w:t>
      </w:r>
    </w:p>
    <w:p w:rsidR="00D076F0" w:rsidRDefault="002749EF">
      <w:pPr>
        <w:tabs>
          <w:tab w:val="left" w:pos="864"/>
          <w:tab w:val="left" w:pos="2160"/>
          <w:tab w:val="left" w:pos="8280"/>
        </w:tabs>
        <w:ind w:left="3" w:right="14"/>
        <w:rPr>
          <w:b/>
        </w:rPr>
      </w:pPr>
      <w:r>
        <w:rPr>
          <w:b/>
        </w:rPr>
        <w:t xml:space="preserve">       ARE BANKRUPT OR LIQUIDATED OR WHICH HAVE THEIR HEADQUARTERS</w:t>
      </w:r>
    </w:p>
    <w:p w:rsidR="00D076F0" w:rsidRDefault="002749EF">
      <w:pPr>
        <w:tabs>
          <w:tab w:val="left" w:pos="864"/>
          <w:tab w:val="left" w:pos="2160"/>
          <w:tab w:val="left" w:pos="8280"/>
        </w:tabs>
        <w:ind w:left="3" w:right="14"/>
        <w:rPr>
          <w:b/>
        </w:rPr>
      </w:pPr>
      <w:r>
        <w:rPr>
          <w:b/>
          <w:u w:val="single"/>
        </w:rPr>
        <w:t xml:space="preserve">       ABROAD</w:t>
      </w:r>
      <w:r>
        <w:rPr>
          <w:b/>
          <w:u w:val="single"/>
        </w:rPr>
        <w:tab/>
        <w:t xml:space="preserve">                </w:t>
      </w:r>
      <w:r>
        <w:rPr>
          <w:b/>
          <w:u w:val="single"/>
        </w:rPr>
        <w:t xml:space="preserve">                                                                                    </w:t>
      </w:r>
      <w:r>
        <w:rPr>
          <w:b/>
        </w:rPr>
        <w:t>:</w:t>
      </w:r>
    </w:p>
    <w:p w:rsidR="00D076F0" w:rsidRDefault="00D076F0">
      <w:pPr>
        <w:tabs>
          <w:tab w:val="left" w:pos="864"/>
          <w:tab w:val="left" w:pos="2160"/>
          <w:tab w:val="left" w:pos="8280"/>
        </w:tabs>
        <w:ind w:right="14"/>
      </w:pPr>
    </w:p>
    <w:p w:rsidR="00D076F0" w:rsidRDefault="002749EF">
      <w:pPr>
        <w:pStyle w:val="BodyText"/>
        <w:ind w:right="14"/>
        <w:jc w:val="both"/>
      </w:pPr>
      <w:r>
        <w:t xml:space="preserve">As of June 30, 2002 there are no consolidated subsidiaries, participations or affiliates which are bankrupt or liquidated. </w:t>
      </w:r>
    </w:p>
    <w:p w:rsidR="00D076F0" w:rsidRDefault="00D076F0">
      <w:pPr>
        <w:pStyle w:val="BodyText"/>
        <w:ind w:right="14"/>
        <w:jc w:val="both"/>
      </w:pPr>
    </w:p>
    <w:p w:rsidR="00D076F0" w:rsidRDefault="002749EF">
      <w:pPr>
        <w:pStyle w:val="BodyText"/>
        <w:ind w:right="14"/>
        <w:jc w:val="both"/>
      </w:pPr>
      <w:r>
        <w:t>Information related to the subsidiaries whic</w:t>
      </w:r>
      <w:r>
        <w:t>h have their headquarters abroad namely The Economy Bank N.V. and Petek International Holdings B.V. are provided in Note 1.</w:t>
      </w:r>
    </w:p>
    <w:p w:rsidR="00D076F0" w:rsidRDefault="00D076F0">
      <w:pPr>
        <w:pStyle w:val="BodyText"/>
        <w:ind w:right="14"/>
        <w:jc w:val="center"/>
      </w:pPr>
    </w:p>
    <w:p w:rsidR="00D076F0" w:rsidRDefault="002749EF">
      <w:pPr>
        <w:tabs>
          <w:tab w:val="left" w:pos="864"/>
          <w:tab w:val="left" w:pos="2160"/>
          <w:tab w:val="left" w:pos="8280"/>
        </w:tabs>
        <w:ind w:right="14"/>
        <w:rPr>
          <w:b/>
        </w:rPr>
      </w:pPr>
      <w:r>
        <w:rPr>
          <w:b/>
        </w:rPr>
        <w:t xml:space="preserve">(5)  FINANCIAL SUBSIDIARY OR PARTICIPATION UNDER FINANCIAL ASSISTANCE </w:t>
      </w:r>
    </w:p>
    <w:p w:rsidR="00D076F0" w:rsidRDefault="002749EF">
      <w:pPr>
        <w:tabs>
          <w:tab w:val="left" w:pos="864"/>
          <w:tab w:val="left" w:pos="2160"/>
          <w:tab w:val="left" w:pos="8280"/>
        </w:tabs>
        <w:ind w:right="14"/>
        <w:rPr>
          <w:b/>
        </w:rPr>
      </w:pPr>
      <w:r>
        <w:rPr>
          <w:b/>
        </w:rPr>
        <w:t xml:space="preserve">       O</w:t>
      </w:r>
      <w:r>
        <w:rPr>
          <w:b/>
        </w:rPr>
        <w:t xml:space="preserve">R RESTRUCTURING WHICH THE BANK OWNS FULLY OR IS A SHAREHOLDER </w:t>
      </w:r>
    </w:p>
    <w:p w:rsidR="00D076F0" w:rsidRDefault="002749EF">
      <w:pPr>
        <w:tabs>
          <w:tab w:val="left" w:pos="864"/>
          <w:tab w:val="left" w:pos="2160"/>
          <w:tab w:val="left" w:pos="8280"/>
        </w:tabs>
        <w:ind w:right="14"/>
        <w:rPr>
          <w:b/>
          <w:u w:val="single"/>
        </w:rPr>
      </w:pPr>
      <w:r>
        <w:rPr>
          <w:b/>
          <w:u w:val="single"/>
        </w:rPr>
        <w:t xml:space="preserve">       TOGETHER WITH OTHER GROUP COMPANIES OR OTHERS                                   :</w:t>
      </w:r>
    </w:p>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14"/>
      </w:pPr>
      <w:r>
        <w:t>None.</w:t>
      </w:r>
    </w:p>
    <w:p w:rsidR="00D076F0" w:rsidRDefault="002749EF">
      <w:pPr>
        <w:pStyle w:val="BodyText"/>
        <w:ind w:right="14"/>
        <w:jc w:val="center"/>
      </w:pPr>
      <w:r>
        <w:br w:type="page"/>
        <w:t>-4-</w:t>
      </w:r>
    </w:p>
    <w:p w:rsidR="00D076F0" w:rsidRDefault="00D076F0">
      <w:pPr>
        <w:tabs>
          <w:tab w:val="left" w:pos="576"/>
          <w:tab w:val="left" w:pos="864"/>
          <w:tab w:val="left" w:pos="1584"/>
          <w:tab w:val="left" w:pos="2016"/>
          <w:tab w:val="left" w:pos="4032"/>
        </w:tabs>
        <w:ind w:right="14"/>
        <w:jc w:val="center"/>
      </w:pPr>
    </w:p>
    <w:p w:rsidR="00D076F0" w:rsidRDefault="002749EF">
      <w:pPr>
        <w:tabs>
          <w:tab w:val="left" w:pos="576"/>
          <w:tab w:val="left" w:pos="864"/>
          <w:tab w:val="left" w:pos="1584"/>
          <w:tab w:val="left" w:pos="2016"/>
          <w:tab w:val="left" w:pos="4032"/>
        </w:tabs>
        <w:ind w:right="14"/>
        <w:jc w:val="center"/>
      </w:pPr>
      <w:r>
        <w:t xml:space="preserve"> (CONVENIENCE TRANSLATION OF A REPORT AND FINANCIAL STATEMENTS ORIGINALLY ISSUED IN TURKISH</w:t>
      </w:r>
      <w:r>
        <w:t xml:space="preserve"> – SEE NOTE 9)</w:t>
      </w:r>
    </w:p>
    <w:p w:rsidR="00D076F0" w:rsidRDefault="00D076F0">
      <w:pPr>
        <w:tabs>
          <w:tab w:val="left" w:pos="864"/>
          <w:tab w:val="left" w:pos="2160"/>
          <w:tab w:val="left" w:pos="8280"/>
        </w:tabs>
        <w:ind w:right="14"/>
      </w:pPr>
    </w:p>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14"/>
        <w:rPr>
          <w:b/>
        </w:rPr>
      </w:pPr>
      <w:r>
        <w:rPr>
          <w:b/>
        </w:rPr>
        <w:t>(6)  THE RATIO OF ASSETS AND LIABILITIES OF SUBSIDIARIES’ EXCLUDED FROM</w:t>
      </w:r>
    </w:p>
    <w:p w:rsidR="00D076F0" w:rsidRDefault="002749EF">
      <w:pPr>
        <w:tabs>
          <w:tab w:val="left" w:pos="864"/>
          <w:tab w:val="left" w:pos="2160"/>
          <w:tab w:val="left" w:pos="8280"/>
        </w:tabs>
        <w:ind w:right="14"/>
        <w:rPr>
          <w:b/>
        </w:rPr>
      </w:pPr>
      <w:r>
        <w:rPr>
          <w:b/>
        </w:rPr>
        <w:t xml:space="preserve">       CONSOLIDATION TO THE ASSETS AND LIABILITIES IN THE CONSOLIDATED </w:t>
      </w:r>
    </w:p>
    <w:p w:rsidR="00D076F0" w:rsidRDefault="002749EF">
      <w:pPr>
        <w:tabs>
          <w:tab w:val="left" w:pos="864"/>
          <w:tab w:val="left" w:pos="2160"/>
          <w:tab w:val="left" w:pos="8280"/>
        </w:tabs>
        <w:ind w:right="14"/>
        <w:rPr>
          <w:b/>
          <w:u w:val="single"/>
        </w:rPr>
      </w:pPr>
      <w:r>
        <w:rPr>
          <w:b/>
          <w:u w:val="single"/>
        </w:rPr>
        <w:t xml:space="preserve">       BALANCE SHEET         </w:t>
      </w:r>
      <w:r>
        <w:rPr>
          <w:b/>
          <w:u w:val="single"/>
        </w:rPr>
        <w:tab/>
        <w:t xml:space="preserve"> :</w:t>
      </w:r>
    </w:p>
    <w:p w:rsidR="00D076F0" w:rsidRDefault="00D076F0"/>
    <w:tbl>
      <w:tblPr>
        <w:tblW w:w="0" w:type="auto"/>
        <w:tblInd w:w="18" w:type="dxa"/>
        <w:tblLayout w:type="fixed"/>
        <w:tblLook w:val="0000" w:firstRow="0" w:lastRow="0" w:firstColumn="0" w:lastColumn="0" w:noHBand="0" w:noVBand="0"/>
      </w:tblPr>
      <w:tblGrid>
        <w:gridCol w:w="3060"/>
        <w:gridCol w:w="1404"/>
        <w:gridCol w:w="20"/>
        <w:gridCol w:w="250"/>
        <w:gridCol w:w="20"/>
        <w:gridCol w:w="1688"/>
        <w:gridCol w:w="22"/>
        <w:gridCol w:w="245"/>
        <w:gridCol w:w="24"/>
        <w:gridCol w:w="1224"/>
        <w:gridCol w:w="37"/>
        <w:gridCol w:w="250"/>
        <w:gridCol w:w="20"/>
        <w:gridCol w:w="1600"/>
        <w:gridCol w:w="20"/>
      </w:tblGrid>
      <w:tr w:rsidR="00D076F0">
        <w:tc>
          <w:tcPr>
            <w:tcW w:w="3060" w:type="dxa"/>
          </w:tcPr>
          <w:p w:rsidR="00D076F0" w:rsidRDefault="00D076F0">
            <w:pPr>
              <w:jc w:val="center"/>
            </w:pPr>
          </w:p>
        </w:tc>
        <w:tc>
          <w:tcPr>
            <w:tcW w:w="1424" w:type="dxa"/>
            <w:gridSpan w:val="2"/>
            <w:tcBorders>
              <w:bottom w:val="single" w:sz="4" w:space="0" w:color="auto"/>
            </w:tcBorders>
          </w:tcPr>
          <w:p w:rsidR="00D076F0" w:rsidRDefault="00D076F0">
            <w:pPr>
              <w:jc w:val="center"/>
            </w:pPr>
          </w:p>
          <w:p w:rsidR="00D076F0" w:rsidRDefault="00D076F0">
            <w:pPr>
              <w:jc w:val="center"/>
            </w:pPr>
          </w:p>
          <w:p w:rsidR="00D076F0" w:rsidRDefault="00D076F0">
            <w:pPr>
              <w:jc w:val="center"/>
            </w:pPr>
          </w:p>
          <w:p w:rsidR="00D076F0" w:rsidRDefault="002749EF">
            <w:pPr>
              <w:jc w:val="center"/>
            </w:pPr>
            <w:r>
              <w:t>Receivables</w:t>
            </w:r>
          </w:p>
        </w:tc>
        <w:tc>
          <w:tcPr>
            <w:tcW w:w="270" w:type="dxa"/>
            <w:gridSpan w:val="2"/>
          </w:tcPr>
          <w:p w:rsidR="00D076F0" w:rsidRDefault="00D076F0">
            <w:pPr>
              <w:jc w:val="center"/>
            </w:pPr>
          </w:p>
        </w:tc>
        <w:tc>
          <w:tcPr>
            <w:tcW w:w="1710" w:type="dxa"/>
            <w:gridSpan w:val="2"/>
            <w:tcBorders>
              <w:bottom w:val="single" w:sz="4" w:space="0" w:color="auto"/>
            </w:tcBorders>
          </w:tcPr>
          <w:p w:rsidR="00D076F0" w:rsidRDefault="002749EF">
            <w:pPr>
              <w:jc w:val="center"/>
            </w:pPr>
            <w:r>
              <w:t xml:space="preserve">Percentage of </w:t>
            </w:r>
          </w:p>
          <w:p w:rsidR="00D076F0" w:rsidRDefault="002749EF">
            <w:pPr>
              <w:jc w:val="center"/>
            </w:pPr>
            <w:r>
              <w:t>Consolidated</w:t>
            </w:r>
          </w:p>
          <w:p w:rsidR="00D076F0" w:rsidRDefault="002749EF">
            <w:pPr>
              <w:jc w:val="center"/>
            </w:pPr>
            <w:r>
              <w:t>Receivables</w:t>
            </w:r>
          </w:p>
          <w:p w:rsidR="00D076F0" w:rsidRDefault="002749EF">
            <w:pPr>
              <w:jc w:val="center"/>
            </w:pPr>
            <w:r>
              <w:t>(%)</w:t>
            </w:r>
          </w:p>
        </w:tc>
        <w:tc>
          <w:tcPr>
            <w:tcW w:w="269" w:type="dxa"/>
            <w:gridSpan w:val="2"/>
          </w:tcPr>
          <w:p w:rsidR="00D076F0" w:rsidRDefault="00D076F0">
            <w:pPr>
              <w:jc w:val="center"/>
            </w:pPr>
          </w:p>
        </w:tc>
        <w:tc>
          <w:tcPr>
            <w:tcW w:w="1261" w:type="dxa"/>
            <w:gridSpan w:val="2"/>
            <w:tcBorders>
              <w:bottom w:val="single" w:sz="4" w:space="0" w:color="auto"/>
            </w:tcBorders>
          </w:tcPr>
          <w:p w:rsidR="00D076F0" w:rsidRDefault="00D076F0">
            <w:pPr>
              <w:jc w:val="center"/>
            </w:pPr>
          </w:p>
          <w:p w:rsidR="00D076F0" w:rsidRDefault="00D076F0">
            <w:pPr>
              <w:jc w:val="center"/>
            </w:pPr>
          </w:p>
          <w:p w:rsidR="00D076F0" w:rsidRDefault="00D076F0">
            <w:pPr>
              <w:jc w:val="center"/>
            </w:pPr>
          </w:p>
          <w:p w:rsidR="00D076F0" w:rsidRDefault="002749EF">
            <w:pPr>
              <w:jc w:val="center"/>
            </w:pPr>
            <w:r>
              <w:t>Payables</w:t>
            </w:r>
          </w:p>
        </w:tc>
        <w:tc>
          <w:tcPr>
            <w:tcW w:w="270" w:type="dxa"/>
            <w:gridSpan w:val="2"/>
          </w:tcPr>
          <w:p w:rsidR="00D076F0" w:rsidRDefault="00D076F0">
            <w:pPr>
              <w:jc w:val="center"/>
            </w:pPr>
          </w:p>
        </w:tc>
        <w:tc>
          <w:tcPr>
            <w:tcW w:w="1620" w:type="dxa"/>
            <w:gridSpan w:val="2"/>
            <w:tcBorders>
              <w:bottom w:val="single" w:sz="4" w:space="0" w:color="auto"/>
            </w:tcBorders>
          </w:tcPr>
          <w:p w:rsidR="00D076F0" w:rsidRDefault="002749EF">
            <w:pPr>
              <w:jc w:val="center"/>
            </w:pPr>
            <w:r>
              <w:t>Percentage of Consolidated</w:t>
            </w:r>
          </w:p>
          <w:p w:rsidR="00D076F0" w:rsidRDefault="002749EF">
            <w:pPr>
              <w:jc w:val="center"/>
            </w:pPr>
            <w:r>
              <w:t xml:space="preserve">Payables </w:t>
            </w:r>
          </w:p>
          <w:p w:rsidR="00D076F0" w:rsidRDefault="002749EF">
            <w:pPr>
              <w:jc w:val="center"/>
            </w:pPr>
            <w:r>
              <w:t>(%)</w:t>
            </w:r>
          </w:p>
        </w:tc>
      </w:tr>
      <w:tr w:rsidR="00D076F0">
        <w:trPr>
          <w:gridAfter w:val="1"/>
          <w:wAfter w:w="20" w:type="dxa"/>
          <w:trHeight w:val="20"/>
        </w:trPr>
        <w:tc>
          <w:tcPr>
            <w:tcW w:w="3060" w:type="dxa"/>
            <w:vAlign w:val="bottom"/>
          </w:tcPr>
          <w:p w:rsidR="00D076F0" w:rsidRDefault="002749EF">
            <w:pPr>
              <w:rPr>
                <w:b/>
                <w:u w:val="single"/>
              </w:rPr>
            </w:pPr>
            <w:r>
              <w:rPr>
                <w:b/>
                <w:u w:val="single"/>
              </w:rPr>
              <w:t>June 30, 2002:</w:t>
            </w:r>
          </w:p>
        </w:tc>
        <w:tc>
          <w:tcPr>
            <w:tcW w:w="1404" w:type="dxa"/>
            <w:vAlign w:val="bottom"/>
          </w:tcPr>
          <w:p w:rsidR="00D076F0" w:rsidRDefault="00D076F0">
            <w:pPr>
              <w:ind w:left="-252" w:firstLine="252"/>
            </w:pPr>
          </w:p>
        </w:tc>
        <w:tc>
          <w:tcPr>
            <w:tcW w:w="270" w:type="dxa"/>
            <w:gridSpan w:val="2"/>
            <w:vAlign w:val="bottom"/>
          </w:tcPr>
          <w:p w:rsidR="00D076F0" w:rsidRDefault="00D076F0"/>
        </w:tc>
        <w:tc>
          <w:tcPr>
            <w:tcW w:w="1708" w:type="dxa"/>
            <w:gridSpan w:val="2"/>
            <w:vAlign w:val="bottom"/>
          </w:tcPr>
          <w:p w:rsidR="00D076F0" w:rsidRDefault="00D076F0"/>
        </w:tc>
        <w:tc>
          <w:tcPr>
            <w:tcW w:w="267" w:type="dxa"/>
            <w:gridSpan w:val="2"/>
            <w:vAlign w:val="bottom"/>
          </w:tcPr>
          <w:p w:rsidR="00D076F0" w:rsidRDefault="00D076F0"/>
        </w:tc>
        <w:tc>
          <w:tcPr>
            <w:tcW w:w="1248" w:type="dxa"/>
            <w:gridSpan w:val="2"/>
            <w:vAlign w:val="bottom"/>
          </w:tcPr>
          <w:p w:rsidR="00D076F0" w:rsidRDefault="00D076F0"/>
        </w:tc>
        <w:tc>
          <w:tcPr>
            <w:tcW w:w="287" w:type="dxa"/>
            <w:gridSpan w:val="2"/>
            <w:vAlign w:val="bottom"/>
          </w:tcPr>
          <w:p w:rsidR="00D076F0" w:rsidRDefault="00D076F0"/>
        </w:tc>
        <w:tc>
          <w:tcPr>
            <w:tcW w:w="1620" w:type="dxa"/>
            <w:gridSpan w:val="2"/>
            <w:vAlign w:val="bottom"/>
          </w:tcPr>
          <w:p w:rsidR="00D076F0" w:rsidRDefault="00D076F0"/>
        </w:tc>
      </w:tr>
      <w:tr w:rsidR="00D076F0">
        <w:trPr>
          <w:gridAfter w:val="1"/>
          <w:wAfter w:w="20" w:type="dxa"/>
          <w:trHeight w:val="20"/>
        </w:trPr>
        <w:tc>
          <w:tcPr>
            <w:tcW w:w="3060" w:type="dxa"/>
            <w:vAlign w:val="bottom"/>
          </w:tcPr>
          <w:p w:rsidR="00D076F0" w:rsidRDefault="002749EF">
            <w:r>
              <w:t>Consolidated Balance Sheet</w:t>
            </w:r>
          </w:p>
        </w:tc>
        <w:tc>
          <w:tcPr>
            <w:tcW w:w="1404" w:type="dxa"/>
            <w:vAlign w:val="bottom"/>
          </w:tcPr>
          <w:p w:rsidR="00D076F0" w:rsidRDefault="002749EF">
            <w:pPr>
              <w:jc w:val="right"/>
            </w:pPr>
            <w:r>
              <w:t>2,762,630</w:t>
            </w:r>
          </w:p>
        </w:tc>
        <w:tc>
          <w:tcPr>
            <w:tcW w:w="270" w:type="dxa"/>
            <w:gridSpan w:val="2"/>
            <w:vAlign w:val="bottom"/>
          </w:tcPr>
          <w:p w:rsidR="00D076F0" w:rsidRDefault="00D076F0">
            <w:pPr>
              <w:jc w:val="right"/>
            </w:pPr>
          </w:p>
        </w:tc>
        <w:tc>
          <w:tcPr>
            <w:tcW w:w="1708" w:type="dxa"/>
            <w:gridSpan w:val="2"/>
            <w:vAlign w:val="bottom"/>
          </w:tcPr>
          <w:p w:rsidR="00D076F0" w:rsidRDefault="002749EF">
            <w:pPr>
              <w:jc w:val="right"/>
            </w:pPr>
            <w:r>
              <w:t>100.00</w:t>
            </w:r>
          </w:p>
        </w:tc>
        <w:tc>
          <w:tcPr>
            <w:tcW w:w="267" w:type="dxa"/>
            <w:gridSpan w:val="2"/>
            <w:vAlign w:val="bottom"/>
          </w:tcPr>
          <w:p w:rsidR="00D076F0" w:rsidRDefault="00D076F0">
            <w:pPr>
              <w:jc w:val="right"/>
            </w:pPr>
          </w:p>
        </w:tc>
        <w:tc>
          <w:tcPr>
            <w:tcW w:w="1248" w:type="dxa"/>
            <w:gridSpan w:val="2"/>
            <w:vAlign w:val="bottom"/>
          </w:tcPr>
          <w:p w:rsidR="00D076F0" w:rsidRDefault="002749EF">
            <w:pPr>
              <w:jc w:val="right"/>
            </w:pPr>
            <w:r>
              <w:t>2,800,744</w:t>
            </w:r>
          </w:p>
        </w:tc>
        <w:tc>
          <w:tcPr>
            <w:tcW w:w="287" w:type="dxa"/>
            <w:gridSpan w:val="2"/>
            <w:vAlign w:val="bottom"/>
          </w:tcPr>
          <w:p w:rsidR="00D076F0" w:rsidRDefault="00D076F0">
            <w:pPr>
              <w:jc w:val="right"/>
            </w:pPr>
          </w:p>
        </w:tc>
        <w:tc>
          <w:tcPr>
            <w:tcW w:w="1620" w:type="dxa"/>
            <w:gridSpan w:val="2"/>
            <w:vAlign w:val="bottom"/>
          </w:tcPr>
          <w:p w:rsidR="00D076F0" w:rsidRDefault="002749EF">
            <w:pPr>
              <w:jc w:val="right"/>
            </w:pPr>
            <w:r>
              <w:t>100.00</w:t>
            </w:r>
          </w:p>
        </w:tc>
      </w:tr>
      <w:tr w:rsidR="00D076F0">
        <w:trPr>
          <w:gridAfter w:val="1"/>
          <w:wAfter w:w="20" w:type="dxa"/>
          <w:trHeight w:val="20"/>
        </w:trPr>
        <w:tc>
          <w:tcPr>
            <w:tcW w:w="3060" w:type="dxa"/>
            <w:vAlign w:val="bottom"/>
          </w:tcPr>
          <w:p w:rsidR="00D076F0" w:rsidRDefault="002749EF">
            <w:r>
              <w:t xml:space="preserve">Varlık Yatırım Ortaklığı A.Ş. </w:t>
            </w:r>
          </w:p>
        </w:tc>
        <w:tc>
          <w:tcPr>
            <w:tcW w:w="1404" w:type="dxa"/>
            <w:vAlign w:val="bottom"/>
          </w:tcPr>
          <w:p w:rsidR="00D076F0" w:rsidRDefault="002749EF">
            <w:pPr>
              <w:jc w:val="right"/>
            </w:pPr>
            <w:r>
              <w:t>322</w:t>
            </w:r>
          </w:p>
        </w:tc>
        <w:tc>
          <w:tcPr>
            <w:tcW w:w="270" w:type="dxa"/>
            <w:gridSpan w:val="2"/>
          </w:tcPr>
          <w:p w:rsidR="00D076F0" w:rsidRDefault="00D076F0">
            <w:pPr>
              <w:jc w:val="right"/>
            </w:pPr>
          </w:p>
        </w:tc>
        <w:tc>
          <w:tcPr>
            <w:tcW w:w="1708" w:type="dxa"/>
            <w:gridSpan w:val="2"/>
            <w:vAlign w:val="bottom"/>
          </w:tcPr>
          <w:p w:rsidR="00D076F0" w:rsidRDefault="002749EF">
            <w:pPr>
              <w:jc w:val="right"/>
            </w:pPr>
            <w:r>
              <w:t>0.0001</w:t>
            </w:r>
          </w:p>
        </w:tc>
        <w:tc>
          <w:tcPr>
            <w:tcW w:w="267" w:type="dxa"/>
            <w:gridSpan w:val="2"/>
          </w:tcPr>
          <w:p w:rsidR="00D076F0" w:rsidRDefault="00D076F0">
            <w:pPr>
              <w:jc w:val="right"/>
            </w:pPr>
          </w:p>
        </w:tc>
        <w:tc>
          <w:tcPr>
            <w:tcW w:w="1248" w:type="dxa"/>
            <w:gridSpan w:val="2"/>
            <w:vAlign w:val="bottom"/>
          </w:tcPr>
          <w:p w:rsidR="00D076F0" w:rsidRDefault="002749EF">
            <w:pPr>
              <w:jc w:val="right"/>
            </w:pPr>
            <w:r>
              <w:t>282</w:t>
            </w:r>
          </w:p>
        </w:tc>
        <w:tc>
          <w:tcPr>
            <w:tcW w:w="287" w:type="dxa"/>
            <w:gridSpan w:val="2"/>
          </w:tcPr>
          <w:p w:rsidR="00D076F0" w:rsidRDefault="00D076F0">
            <w:pPr>
              <w:jc w:val="right"/>
            </w:pPr>
          </w:p>
        </w:tc>
        <w:tc>
          <w:tcPr>
            <w:tcW w:w="1620" w:type="dxa"/>
            <w:gridSpan w:val="2"/>
            <w:vAlign w:val="bottom"/>
          </w:tcPr>
          <w:p w:rsidR="00D076F0" w:rsidRDefault="002749EF">
            <w:pPr>
              <w:jc w:val="right"/>
            </w:pPr>
            <w:r>
              <w:t>0.0001</w:t>
            </w:r>
          </w:p>
        </w:tc>
      </w:tr>
      <w:tr w:rsidR="00D076F0">
        <w:trPr>
          <w:gridAfter w:val="1"/>
          <w:wAfter w:w="20" w:type="dxa"/>
          <w:trHeight w:val="20"/>
        </w:trPr>
        <w:tc>
          <w:tcPr>
            <w:tcW w:w="3060" w:type="dxa"/>
            <w:vAlign w:val="bottom"/>
          </w:tcPr>
          <w:p w:rsidR="00D076F0" w:rsidRDefault="002749EF">
            <w:r>
              <w:t>TEB Kıymetli Madenler A.Ş.</w:t>
            </w:r>
          </w:p>
        </w:tc>
        <w:tc>
          <w:tcPr>
            <w:tcW w:w="1404" w:type="dxa"/>
            <w:vAlign w:val="bottom"/>
          </w:tcPr>
          <w:p w:rsidR="00D076F0" w:rsidRDefault="002749EF">
            <w:pPr>
              <w:jc w:val="right"/>
            </w:pPr>
            <w:r>
              <w:t>-</w:t>
            </w:r>
          </w:p>
        </w:tc>
        <w:tc>
          <w:tcPr>
            <w:tcW w:w="270" w:type="dxa"/>
            <w:gridSpan w:val="2"/>
            <w:vAlign w:val="bottom"/>
          </w:tcPr>
          <w:p w:rsidR="00D076F0" w:rsidRDefault="00D076F0">
            <w:pPr>
              <w:jc w:val="right"/>
            </w:pPr>
          </w:p>
        </w:tc>
        <w:tc>
          <w:tcPr>
            <w:tcW w:w="1708" w:type="dxa"/>
            <w:gridSpan w:val="2"/>
            <w:vAlign w:val="bottom"/>
          </w:tcPr>
          <w:p w:rsidR="00D076F0" w:rsidRDefault="002749EF">
            <w:pPr>
              <w:jc w:val="right"/>
            </w:pPr>
            <w:r>
              <w:t>-</w:t>
            </w:r>
          </w:p>
        </w:tc>
        <w:tc>
          <w:tcPr>
            <w:tcW w:w="267" w:type="dxa"/>
            <w:gridSpan w:val="2"/>
            <w:vAlign w:val="bottom"/>
          </w:tcPr>
          <w:p w:rsidR="00D076F0" w:rsidRDefault="00D076F0">
            <w:pPr>
              <w:jc w:val="right"/>
            </w:pPr>
          </w:p>
        </w:tc>
        <w:tc>
          <w:tcPr>
            <w:tcW w:w="1248" w:type="dxa"/>
            <w:gridSpan w:val="2"/>
            <w:vAlign w:val="bottom"/>
          </w:tcPr>
          <w:p w:rsidR="00D076F0" w:rsidRDefault="002749EF">
            <w:pPr>
              <w:jc w:val="right"/>
            </w:pPr>
            <w:r>
              <w:t>-</w:t>
            </w:r>
          </w:p>
        </w:tc>
        <w:tc>
          <w:tcPr>
            <w:tcW w:w="287" w:type="dxa"/>
            <w:gridSpan w:val="2"/>
            <w:vAlign w:val="bottom"/>
          </w:tcPr>
          <w:p w:rsidR="00D076F0" w:rsidRDefault="00D076F0">
            <w:pPr>
              <w:jc w:val="right"/>
            </w:pPr>
          </w:p>
        </w:tc>
        <w:tc>
          <w:tcPr>
            <w:tcW w:w="1620" w:type="dxa"/>
            <w:gridSpan w:val="2"/>
            <w:vAlign w:val="bottom"/>
          </w:tcPr>
          <w:p w:rsidR="00D076F0" w:rsidRDefault="002749EF">
            <w:pPr>
              <w:jc w:val="right"/>
            </w:pPr>
            <w:r>
              <w:t>-</w:t>
            </w:r>
          </w:p>
        </w:tc>
      </w:tr>
    </w:tbl>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14"/>
        <w:rPr>
          <w:b/>
        </w:rPr>
      </w:pPr>
      <w:r>
        <w:rPr>
          <w:b/>
        </w:rPr>
        <w:t>(7) SIGNIFICANT</w:t>
      </w:r>
      <w:r>
        <w:rPr>
          <w:b/>
        </w:rPr>
        <w:t xml:space="preserve"> CONTINGENCIES AND COMMITMENTS FOR THE PURPOSE OF </w:t>
      </w:r>
    </w:p>
    <w:p w:rsidR="00D076F0" w:rsidRDefault="002749EF">
      <w:pPr>
        <w:tabs>
          <w:tab w:val="left" w:pos="864"/>
          <w:tab w:val="left" w:pos="2160"/>
          <w:tab w:val="left" w:pos="8280"/>
        </w:tabs>
        <w:ind w:right="14"/>
        <w:rPr>
          <w:b/>
          <w:u w:val="single"/>
        </w:rPr>
      </w:pPr>
      <w:r>
        <w:rPr>
          <w:b/>
          <w:u w:val="single"/>
        </w:rPr>
        <w:t xml:space="preserve">         CONSOLIDATED FINANCIAL STATEMENTS OF THE FINANCIAL INSTITUTIONS:</w:t>
      </w:r>
    </w:p>
    <w:p w:rsidR="00D076F0" w:rsidRDefault="00D076F0">
      <w:pPr>
        <w:tabs>
          <w:tab w:val="left" w:pos="864"/>
          <w:tab w:val="left" w:pos="2160"/>
          <w:tab w:val="left" w:pos="8280"/>
        </w:tabs>
        <w:ind w:right="14"/>
      </w:pPr>
    </w:p>
    <w:p w:rsidR="00D076F0" w:rsidRDefault="002749EF">
      <w:pPr>
        <w:pStyle w:val="BodyText"/>
        <w:tabs>
          <w:tab w:val="left" w:pos="3888"/>
          <w:tab w:val="left" w:pos="5328"/>
          <w:tab w:val="left" w:pos="6912"/>
          <w:tab w:val="left" w:pos="8784"/>
        </w:tabs>
        <w:ind w:right="14"/>
        <w:jc w:val="both"/>
      </w:pPr>
      <w:r>
        <w:t>In the course of its banking activities, the Bank undertakes various commitments and incurs contingent liabilities that are not pr</w:t>
      </w:r>
      <w:r>
        <w:t>esented in the accompanying consolidated financial statements.  Such commitments include extending credit facilities, foreign currency and interest related transactions, payment guarantees, letters of guarantee, acceptance credits and letters of credits.</w:t>
      </w:r>
    </w:p>
    <w:p w:rsidR="00D076F0" w:rsidRDefault="00D076F0">
      <w:pPr>
        <w:pStyle w:val="BodyText"/>
        <w:tabs>
          <w:tab w:val="left" w:pos="3888"/>
          <w:tab w:val="left" w:pos="5328"/>
          <w:tab w:val="left" w:pos="6912"/>
          <w:tab w:val="left" w:pos="8784"/>
        </w:tabs>
        <w:ind w:right="14"/>
        <w:jc w:val="both"/>
      </w:pPr>
    </w:p>
    <w:p w:rsidR="00D076F0" w:rsidRDefault="002749EF">
      <w:pPr>
        <w:pStyle w:val="BodyText"/>
        <w:tabs>
          <w:tab w:val="left" w:pos="3888"/>
          <w:tab w:val="left" w:pos="5328"/>
          <w:tab w:val="left" w:pos="6912"/>
          <w:tab w:val="left" w:pos="8784"/>
        </w:tabs>
        <w:ind w:right="14"/>
        <w:jc w:val="both"/>
      </w:pPr>
      <w:r>
        <w:t>As of June 30, 2002, the significant commitments have been presented in the accompanying statement of consolidated off-balance sheet obligations.</w:t>
      </w:r>
    </w:p>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14"/>
        <w:rPr>
          <w:b/>
        </w:rPr>
      </w:pPr>
      <w:r>
        <w:rPr>
          <w:b/>
        </w:rPr>
        <w:t xml:space="preserve">(8)  CONSOLIDATED TOTAL OF FOREIGN CURRENCY DENOMINATED </w:t>
      </w:r>
    </w:p>
    <w:p w:rsidR="00D076F0" w:rsidRDefault="002749EF">
      <w:pPr>
        <w:tabs>
          <w:tab w:val="left" w:pos="864"/>
          <w:tab w:val="left" w:pos="2160"/>
          <w:tab w:val="left" w:pos="8280"/>
        </w:tabs>
        <w:ind w:right="14"/>
        <w:rPr>
          <w:b/>
          <w:u w:val="single"/>
        </w:rPr>
      </w:pPr>
      <w:r>
        <w:rPr>
          <w:b/>
          <w:u w:val="single"/>
        </w:rPr>
        <w:t xml:space="preserve">       ASSETS AND LIABILITIES                       </w:t>
      </w:r>
      <w:r>
        <w:rPr>
          <w:b/>
          <w:u w:val="single"/>
        </w:rPr>
        <w:t xml:space="preserve">                                              :</w:t>
      </w:r>
    </w:p>
    <w:p w:rsidR="00D076F0" w:rsidRDefault="00D076F0">
      <w:pPr>
        <w:tabs>
          <w:tab w:val="left" w:pos="864"/>
          <w:tab w:val="left" w:pos="2160"/>
          <w:tab w:val="left" w:pos="8280"/>
        </w:tabs>
        <w:ind w:right="14"/>
        <w:jc w:val="both"/>
      </w:pPr>
    </w:p>
    <w:p w:rsidR="00D076F0" w:rsidRDefault="002749EF">
      <w:pPr>
        <w:tabs>
          <w:tab w:val="left" w:pos="864"/>
          <w:tab w:val="left" w:pos="2160"/>
          <w:tab w:val="left" w:pos="8280"/>
        </w:tabs>
        <w:ind w:right="14"/>
        <w:jc w:val="both"/>
      </w:pPr>
      <w:r>
        <w:t>As of June 30, 2002, consolidated total of foreign currency denominated assets amount to 2,609,319TL and consolidated total of foreign currency denominated liabilities amount to 2,506,799TL.</w:t>
      </w:r>
    </w:p>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14"/>
        <w:rPr>
          <w:b/>
        </w:rPr>
      </w:pPr>
      <w:r>
        <w:rPr>
          <w:b/>
        </w:rPr>
        <w:t>(9)  BASIS OF V</w:t>
      </w:r>
      <w:r>
        <w:rPr>
          <w:b/>
        </w:rPr>
        <w:t>ALUATION FOR VARIOUS ACCOUNTS AND THE PROCEDURES</w:t>
      </w:r>
    </w:p>
    <w:p w:rsidR="00D076F0" w:rsidRDefault="002749EF">
      <w:pPr>
        <w:tabs>
          <w:tab w:val="left" w:pos="864"/>
          <w:tab w:val="left" w:pos="2160"/>
          <w:tab w:val="left" w:pos="8280"/>
        </w:tabs>
        <w:ind w:right="14"/>
        <w:rPr>
          <w:b/>
          <w:u w:val="single"/>
        </w:rPr>
      </w:pPr>
      <w:r>
        <w:rPr>
          <w:b/>
          <w:u w:val="single"/>
        </w:rPr>
        <w:t xml:space="preserve">       WITH RESPECT TO CONSOLIDATION                                                                   : </w:t>
      </w:r>
    </w:p>
    <w:p w:rsidR="00D076F0" w:rsidRDefault="00D076F0">
      <w:pPr>
        <w:tabs>
          <w:tab w:val="left" w:pos="864"/>
          <w:tab w:val="left" w:pos="2160"/>
          <w:tab w:val="left" w:pos="8280"/>
        </w:tabs>
        <w:ind w:right="14"/>
      </w:pPr>
    </w:p>
    <w:p w:rsidR="00D076F0" w:rsidRDefault="002749EF">
      <w:pPr>
        <w:tabs>
          <w:tab w:val="left" w:pos="864"/>
          <w:tab w:val="left" w:pos="2160"/>
          <w:tab w:val="left" w:pos="8280"/>
        </w:tabs>
        <w:ind w:right="14"/>
        <w:jc w:val="both"/>
      </w:pPr>
      <w:r>
        <w:t>The Bank maintains its books of account and prepares its financials statements in Turkish lira in ac</w:t>
      </w:r>
      <w:r>
        <w:t>cordance with the Turkish Commercial Code, Banking Law and tax regulations. The accompanying financial statements are prepared in accordance with the Uniform Chart of Accounts, standard balance sheet, income statement, supplementary financial statements an</w:t>
      </w:r>
      <w:r>
        <w:t>d footnotes to these financial statements and the explanations related to the applications of such financial statements and the accounting and valuation principles thereto that are based on the article 13 of the Banking Law 4389 as revised by Law Number 46</w:t>
      </w:r>
      <w:r>
        <w:t xml:space="preserve">72 and 4491 and other related decree and communiqués. Banks are required to prepare their consolidated and unconsolidated financial statements in line with the International Accounting Standard 29 (IAS 29) reflecting the restatement for the changes in the </w:t>
      </w:r>
      <w:r>
        <w:t xml:space="preserve">general purchasing power of the Turkish lira which is required by the communiqué of “Special Independent Audit Basics and Procedures by the Banking Law 4389 temporary article 4th”. The restatement was calculated by means of conversion factors derived from </w:t>
      </w:r>
      <w:r>
        <w:t>the countrywide wholesale price index published by the State Institute of Statistics. Indices and conversion factors that were used to present the financial statements as of June 30, 2002 reflecting the restatement for the changes in the general purchasing</w:t>
      </w:r>
      <w:r>
        <w:t xml:space="preserve"> power of the Turkish is as follows;</w:t>
      </w:r>
    </w:p>
    <w:p w:rsidR="00D076F0" w:rsidRDefault="002749EF">
      <w:pPr>
        <w:pStyle w:val="BodyText2"/>
        <w:jc w:val="center"/>
      </w:pPr>
      <w:r>
        <w:br w:type="page"/>
      </w:r>
    </w:p>
    <w:p w:rsidR="00D076F0" w:rsidRDefault="002749EF">
      <w:pPr>
        <w:pStyle w:val="BodyText2"/>
        <w:jc w:val="center"/>
      </w:pPr>
      <w:r>
        <w:t>-5-</w:t>
      </w:r>
    </w:p>
    <w:p w:rsidR="00D076F0" w:rsidRDefault="00D076F0">
      <w:pPr>
        <w:tabs>
          <w:tab w:val="left" w:pos="576"/>
          <w:tab w:val="left" w:pos="864"/>
          <w:tab w:val="left" w:pos="1584"/>
          <w:tab w:val="left" w:pos="2016"/>
          <w:tab w:val="left" w:pos="4032"/>
        </w:tabs>
        <w:ind w:right="14"/>
        <w:jc w:val="center"/>
      </w:pPr>
    </w:p>
    <w:p w:rsidR="00D076F0" w:rsidRDefault="002749EF">
      <w:pPr>
        <w:tabs>
          <w:tab w:val="left" w:pos="576"/>
          <w:tab w:val="left" w:pos="864"/>
          <w:tab w:val="left" w:pos="1584"/>
          <w:tab w:val="left" w:pos="2016"/>
          <w:tab w:val="left" w:pos="4032"/>
        </w:tabs>
        <w:ind w:right="14"/>
        <w:jc w:val="center"/>
      </w:pPr>
      <w:r>
        <w:t xml:space="preserve"> (CONVENIENCE TRANSLATION OF A REPORT AND FINANCIAL STATEMENTS ORIGINALLY ISSUED IN TURKISH – SEE NOTE 9)</w:t>
      </w:r>
    </w:p>
    <w:p w:rsidR="00D076F0" w:rsidRDefault="00D076F0">
      <w:pPr>
        <w:tabs>
          <w:tab w:val="left" w:pos="1584"/>
        </w:tabs>
      </w:pPr>
    </w:p>
    <w:p w:rsidR="00D076F0" w:rsidRDefault="00D076F0">
      <w:pPr>
        <w:tabs>
          <w:tab w:val="left" w:pos="864"/>
          <w:tab w:val="left" w:pos="2160"/>
          <w:tab w:val="left" w:pos="8280"/>
        </w:tabs>
        <w:ind w:right="14"/>
        <w:jc w:val="both"/>
      </w:pPr>
    </w:p>
    <w:tbl>
      <w:tblPr>
        <w:tblW w:w="0" w:type="auto"/>
        <w:tblInd w:w="468" w:type="dxa"/>
        <w:tblLayout w:type="fixed"/>
        <w:tblLook w:val="0000" w:firstRow="0" w:lastRow="0" w:firstColumn="0" w:lastColumn="0" w:noHBand="0" w:noVBand="0"/>
      </w:tblPr>
      <w:tblGrid>
        <w:gridCol w:w="3663"/>
        <w:gridCol w:w="236"/>
        <w:gridCol w:w="1321"/>
        <w:gridCol w:w="270"/>
        <w:gridCol w:w="1530"/>
      </w:tblGrid>
      <w:tr w:rsidR="00D076F0">
        <w:trPr>
          <w:cantSplit/>
        </w:trPr>
        <w:tc>
          <w:tcPr>
            <w:tcW w:w="3663" w:type="dxa"/>
            <w:tcBorders>
              <w:bottom w:val="single" w:sz="6" w:space="0" w:color="auto"/>
            </w:tcBorders>
          </w:tcPr>
          <w:p w:rsidR="00D076F0" w:rsidRDefault="00D076F0">
            <w:pPr>
              <w:jc w:val="center"/>
            </w:pPr>
          </w:p>
          <w:p w:rsidR="00D076F0" w:rsidRDefault="002749EF">
            <w:r>
              <w:t>Date</w:t>
            </w:r>
          </w:p>
        </w:tc>
        <w:tc>
          <w:tcPr>
            <w:tcW w:w="236" w:type="dxa"/>
          </w:tcPr>
          <w:p w:rsidR="00D076F0" w:rsidRDefault="00D076F0">
            <w:pPr>
              <w:jc w:val="center"/>
            </w:pPr>
          </w:p>
        </w:tc>
        <w:tc>
          <w:tcPr>
            <w:tcW w:w="1321" w:type="dxa"/>
            <w:tcBorders>
              <w:bottom w:val="single" w:sz="6" w:space="0" w:color="auto"/>
            </w:tcBorders>
          </w:tcPr>
          <w:p w:rsidR="00D076F0" w:rsidRDefault="00D076F0">
            <w:pPr>
              <w:jc w:val="center"/>
            </w:pPr>
          </w:p>
          <w:p w:rsidR="00D076F0" w:rsidRDefault="002749EF">
            <w:pPr>
              <w:jc w:val="center"/>
            </w:pPr>
            <w:r>
              <w:t>Index</w:t>
            </w:r>
          </w:p>
        </w:tc>
        <w:tc>
          <w:tcPr>
            <w:tcW w:w="270" w:type="dxa"/>
          </w:tcPr>
          <w:p w:rsidR="00D076F0" w:rsidRDefault="00D076F0">
            <w:pPr>
              <w:jc w:val="center"/>
            </w:pPr>
          </w:p>
        </w:tc>
        <w:tc>
          <w:tcPr>
            <w:tcW w:w="1530" w:type="dxa"/>
            <w:tcBorders>
              <w:bottom w:val="single" w:sz="6" w:space="0" w:color="auto"/>
            </w:tcBorders>
          </w:tcPr>
          <w:p w:rsidR="00D076F0" w:rsidRDefault="002749EF">
            <w:pPr>
              <w:jc w:val="center"/>
            </w:pPr>
            <w:r>
              <w:t>Conversion Factors</w:t>
            </w:r>
          </w:p>
        </w:tc>
      </w:tr>
      <w:tr w:rsidR="00D076F0">
        <w:trPr>
          <w:cantSplit/>
        </w:trPr>
        <w:tc>
          <w:tcPr>
            <w:tcW w:w="3663" w:type="dxa"/>
          </w:tcPr>
          <w:p w:rsidR="00D076F0" w:rsidRDefault="002749EF">
            <w:r>
              <w:t xml:space="preserve">June 30, 2002 </w:t>
            </w:r>
          </w:p>
        </w:tc>
        <w:tc>
          <w:tcPr>
            <w:tcW w:w="236" w:type="dxa"/>
          </w:tcPr>
          <w:p w:rsidR="00D076F0" w:rsidRDefault="00D076F0">
            <w:pPr>
              <w:jc w:val="right"/>
            </w:pPr>
          </w:p>
        </w:tc>
        <w:tc>
          <w:tcPr>
            <w:tcW w:w="1321" w:type="dxa"/>
          </w:tcPr>
          <w:p w:rsidR="00D076F0" w:rsidRDefault="002749EF">
            <w:pPr>
              <w:jc w:val="center"/>
            </w:pPr>
            <w:r>
              <w:t xml:space="preserve"> 5,572</w:t>
            </w:r>
          </w:p>
        </w:tc>
        <w:tc>
          <w:tcPr>
            <w:tcW w:w="270" w:type="dxa"/>
          </w:tcPr>
          <w:p w:rsidR="00D076F0" w:rsidRDefault="00D076F0">
            <w:pPr>
              <w:jc w:val="right"/>
            </w:pPr>
          </w:p>
        </w:tc>
        <w:tc>
          <w:tcPr>
            <w:tcW w:w="1530" w:type="dxa"/>
          </w:tcPr>
          <w:p w:rsidR="00D076F0" w:rsidRDefault="002749EF">
            <w:pPr>
              <w:jc w:val="center"/>
            </w:pPr>
            <w:r>
              <w:t>1.125</w:t>
            </w:r>
          </w:p>
        </w:tc>
      </w:tr>
    </w:tbl>
    <w:p w:rsidR="00D076F0" w:rsidRDefault="00D076F0">
      <w:pPr>
        <w:tabs>
          <w:tab w:val="left" w:pos="864"/>
          <w:tab w:val="left" w:pos="2160"/>
          <w:tab w:val="left" w:pos="8280"/>
        </w:tabs>
        <w:ind w:right="14"/>
        <w:jc w:val="both"/>
      </w:pPr>
    </w:p>
    <w:p w:rsidR="00D076F0" w:rsidRDefault="002749EF">
      <w:pPr>
        <w:tabs>
          <w:tab w:val="left" w:pos="576"/>
          <w:tab w:val="left" w:pos="3456"/>
          <w:tab w:val="left" w:pos="4176"/>
          <w:tab w:val="left" w:pos="4608"/>
        </w:tabs>
        <w:jc w:val="both"/>
      </w:pPr>
      <w:r>
        <w:t>The main guidelines for the above men</w:t>
      </w:r>
      <w:r>
        <w:t>tioned restatement are as follows:</w:t>
      </w:r>
    </w:p>
    <w:p w:rsidR="00D076F0" w:rsidRDefault="00D076F0">
      <w:pPr>
        <w:tabs>
          <w:tab w:val="left" w:pos="576"/>
          <w:tab w:val="left" w:pos="3456"/>
          <w:tab w:val="left" w:pos="4176"/>
          <w:tab w:val="left" w:pos="4608"/>
        </w:tabs>
        <w:jc w:val="both"/>
      </w:pPr>
    </w:p>
    <w:p w:rsidR="00D076F0" w:rsidRDefault="002749EF">
      <w:pPr>
        <w:tabs>
          <w:tab w:val="left" w:pos="576"/>
          <w:tab w:val="left" w:pos="3456"/>
          <w:tab w:val="left" w:pos="4176"/>
          <w:tab w:val="left" w:pos="4608"/>
        </w:tabs>
        <w:ind w:left="360" w:hanging="360"/>
        <w:jc w:val="both"/>
      </w:pPr>
      <w:r>
        <w:t>-</w:t>
      </w:r>
      <w:r>
        <w:tab/>
        <w:t>Monetary assets and liabilities reported in the balance sheet as of June 30, 2002 are not restated because they are already expressed in terms of the monetary unit current at that balance sheet date.</w:t>
      </w:r>
    </w:p>
    <w:p w:rsidR="00D076F0" w:rsidRDefault="00D076F0">
      <w:pPr>
        <w:tabs>
          <w:tab w:val="left" w:pos="576"/>
          <w:tab w:val="left" w:pos="3456"/>
          <w:tab w:val="left" w:pos="4176"/>
          <w:tab w:val="left" w:pos="4608"/>
        </w:tabs>
        <w:ind w:left="360" w:hanging="360"/>
        <w:jc w:val="both"/>
      </w:pPr>
    </w:p>
    <w:p w:rsidR="00D076F0" w:rsidRDefault="002749EF">
      <w:pPr>
        <w:tabs>
          <w:tab w:val="left" w:pos="576"/>
          <w:tab w:val="left" w:pos="3456"/>
          <w:tab w:val="left" w:pos="4176"/>
          <w:tab w:val="left" w:pos="4608"/>
        </w:tabs>
        <w:ind w:left="360" w:hanging="360"/>
        <w:jc w:val="both"/>
      </w:pPr>
      <w:r>
        <w:t>-</w:t>
      </w:r>
      <w:r>
        <w:tab/>
        <w:t>The inflation a</w:t>
      </w:r>
      <w:r>
        <w:t>djusted share capital amount has been derived by indexing each share capital increase from the date they were contributed.</w:t>
      </w:r>
    </w:p>
    <w:p w:rsidR="00D076F0" w:rsidRDefault="00D076F0">
      <w:pPr>
        <w:tabs>
          <w:tab w:val="left" w:pos="576"/>
          <w:tab w:val="left" w:pos="3456"/>
          <w:tab w:val="left" w:pos="4176"/>
          <w:tab w:val="left" w:pos="4608"/>
        </w:tabs>
        <w:ind w:left="360" w:hanging="360"/>
        <w:jc w:val="both"/>
      </w:pPr>
    </w:p>
    <w:p w:rsidR="00D076F0" w:rsidRDefault="002749EF">
      <w:pPr>
        <w:pStyle w:val="BodyTextIndent"/>
        <w:numPr>
          <w:ilvl w:val="0"/>
          <w:numId w:val="1"/>
        </w:numPr>
        <w:tabs>
          <w:tab w:val="left" w:pos="576"/>
          <w:tab w:val="left" w:pos="3456"/>
          <w:tab w:val="left" w:pos="4176"/>
          <w:tab w:val="left" w:pos="4608"/>
        </w:tabs>
        <w:jc w:val="both"/>
        <w:rPr>
          <w:snapToGrid w:val="0"/>
        </w:rPr>
      </w:pPr>
      <w:r>
        <w:t>Non-monetary assets and liabilities which are not carried at amounts current at the balance sheet date and other components of share</w:t>
      </w:r>
      <w:r>
        <w:t xml:space="preserve">holders’ equity (except for the revaluation surplus which is eliminated) are restated by applying the relevant conversion factors. Retained earnings resulting from restatement are included in to general reserves and accumulated deficits are included in to </w:t>
      </w:r>
      <w:r>
        <w:t>prior year losses on a net basis.</w:t>
      </w:r>
    </w:p>
    <w:p w:rsidR="00D076F0" w:rsidRDefault="00D076F0">
      <w:pPr>
        <w:pStyle w:val="BodyTextIndent"/>
        <w:tabs>
          <w:tab w:val="left" w:pos="576"/>
          <w:tab w:val="left" w:pos="3456"/>
          <w:tab w:val="left" w:pos="4176"/>
          <w:tab w:val="left" w:pos="4608"/>
        </w:tabs>
        <w:ind w:left="0"/>
        <w:rPr>
          <w:snapToGrid w:val="0"/>
        </w:rPr>
      </w:pPr>
    </w:p>
    <w:p w:rsidR="00D076F0" w:rsidRDefault="002749EF">
      <w:pPr>
        <w:pStyle w:val="BodyTextIndent"/>
        <w:numPr>
          <w:ilvl w:val="0"/>
          <w:numId w:val="1"/>
        </w:numPr>
        <w:tabs>
          <w:tab w:val="left" w:pos="576"/>
          <w:tab w:val="left" w:pos="3456"/>
          <w:tab w:val="left" w:pos="4176"/>
          <w:tab w:val="left" w:pos="4608"/>
        </w:tabs>
        <w:jc w:val="both"/>
        <w:rPr>
          <w:snapToGrid w:val="0"/>
        </w:rPr>
      </w:pPr>
      <w:r>
        <w:rPr>
          <w:snapToGrid w:val="0"/>
        </w:rPr>
        <w:t>While restating the share capital, actual cash contribution dates to share capital increase are taken into consideration. Transfer of legal reserves and retained earnings to share capital are considered as cash contributi</w:t>
      </w:r>
      <w:r>
        <w:rPr>
          <w:snapToGrid w:val="0"/>
        </w:rPr>
        <w:t>ons by shareholders and are restated accordingly.</w:t>
      </w:r>
    </w:p>
    <w:p w:rsidR="00D076F0" w:rsidRDefault="00D076F0">
      <w:pPr>
        <w:pStyle w:val="BodyTextIndent"/>
        <w:tabs>
          <w:tab w:val="left" w:pos="576"/>
          <w:tab w:val="left" w:pos="3456"/>
          <w:tab w:val="left" w:pos="4176"/>
          <w:tab w:val="left" w:pos="4608"/>
        </w:tabs>
        <w:rPr>
          <w:snapToGrid w:val="0"/>
        </w:rPr>
      </w:pPr>
    </w:p>
    <w:p w:rsidR="00D076F0" w:rsidRDefault="002749EF">
      <w:pPr>
        <w:pStyle w:val="BodyTextIndent"/>
        <w:numPr>
          <w:ilvl w:val="0"/>
          <w:numId w:val="1"/>
        </w:numPr>
        <w:tabs>
          <w:tab w:val="left" w:pos="576"/>
          <w:tab w:val="left" w:pos="3456"/>
          <w:tab w:val="left" w:pos="4176"/>
          <w:tab w:val="left" w:pos="4608"/>
        </w:tabs>
        <w:jc w:val="both"/>
        <w:rPr>
          <w:snapToGrid w:val="0"/>
        </w:rPr>
      </w:pPr>
      <w:r>
        <w:t xml:space="preserve">All items in the statements of income are restated by applying the </w:t>
      </w:r>
      <w:r>
        <w:rPr>
          <w:snapToGrid w:val="0"/>
        </w:rPr>
        <w:t xml:space="preserve">appropriate </w:t>
      </w:r>
      <w:r>
        <w:t>relevant conversion factors with exception of depreciation, amortization and gain or loss on disposal of fixed assets which ar</w:t>
      </w:r>
      <w:r>
        <w:t>e reflected based on restated costs.</w:t>
      </w:r>
    </w:p>
    <w:p w:rsidR="00D076F0" w:rsidRDefault="00D076F0">
      <w:pPr>
        <w:pStyle w:val="BodyTextIndent"/>
        <w:tabs>
          <w:tab w:val="left" w:pos="576"/>
          <w:tab w:val="left" w:pos="3456"/>
          <w:tab w:val="left" w:pos="4176"/>
          <w:tab w:val="left" w:pos="4608"/>
        </w:tabs>
        <w:ind w:left="0"/>
      </w:pPr>
    </w:p>
    <w:p w:rsidR="00D076F0" w:rsidRDefault="002749EF">
      <w:pPr>
        <w:pStyle w:val="BodyTextIndent"/>
        <w:numPr>
          <w:ilvl w:val="0"/>
          <w:numId w:val="1"/>
        </w:numPr>
        <w:tabs>
          <w:tab w:val="left" w:pos="576"/>
          <w:tab w:val="left" w:pos="3456"/>
          <w:tab w:val="left" w:pos="4176"/>
          <w:tab w:val="left" w:pos="4608"/>
        </w:tabs>
        <w:rPr>
          <w:snapToGrid w:val="0"/>
        </w:rPr>
      </w:pPr>
      <w:r>
        <w:t>The effect of inflation on the Bank’s net monetary position is included in the statements of income and separately disclosed as a net monetary gain or loss.</w:t>
      </w:r>
    </w:p>
    <w:p w:rsidR="00D076F0" w:rsidRDefault="00D076F0">
      <w:pPr>
        <w:ind w:left="480"/>
        <w:jc w:val="both"/>
      </w:pPr>
    </w:p>
    <w:p w:rsidR="00D076F0" w:rsidRDefault="002749EF">
      <w:pPr>
        <w:tabs>
          <w:tab w:val="left" w:pos="864"/>
          <w:tab w:val="left" w:pos="2160"/>
          <w:tab w:val="left" w:pos="8280"/>
        </w:tabs>
        <w:ind w:right="14"/>
        <w:jc w:val="both"/>
        <w:rPr>
          <w:b/>
        </w:rPr>
      </w:pPr>
      <w:r>
        <w:rPr>
          <w:b/>
        </w:rPr>
        <w:t>NOTE FOR CONVENIENCE TRANSLATION</w:t>
      </w:r>
    </w:p>
    <w:p w:rsidR="00D076F0" w:rsidRDefault="00D076F0">
      <w:pPr>
        <w:tabs>
          <w:tab w:val="left" w:pos="864"/>
          <w:tab w:val="left" w:pos="2160"/>
          <w:tab w:val="left" w:pos="8280"/>
        </w:tabs>
        <w:ind w:right="14"/>
        <w:jc w:val="both"/>
      </w:pPr>
    </w:p>
    <w:p w:rsidR="00D076F0" w:rsidRDefault="002749EF">
      <w:pPr>
        <w:tabs>
          <w:tab w:val="left" w:pos="864"/>
          <w:tab w:val="left" w:pos="2160"/>
          <w:tab w:val="left" w:pos="8280"/>
        </w:tabs>
        <w:ind w:right="14"/>
        <w:jc w:val="both"/>
      </w:pPr>
      <w:r>
        <w:t xml:space="preserve">The accounting principles </w:t>
      </w:r>
      <w:r>
        <w:t>used in the preparation of the accompanying financial statements differ from International Financial Reporting Standards (IFRS) and so far as such differences apply to  the financial statements of the Bank they relate mainly to the format of financial stat</w:t>
      </w:r>
      <w:r>
        <w:t>ements and disclosure requirements, the non-application of IAS 39 (Financial Instruments – Recognition and Measurement), accounting for deferred taxes and accounting for retirement pay liabilities.  The effects of the differences between these accounting p</w:t>
      </w:r>
      <w:r>
        <w:t>rinciples and the accounting principles generally accepted in the countries in which the accompanying financial statements are to be used and IFRS have not been quantified in the accompanying financial statements.  Accordingly, the accompanying financial s</w:t>
      </w:r>
      <w:r>
        <w:t>tatements are not intended to present the financial position and results of operations in accordance with accounting principles generally accepted in the countries of users of the financial statements and IFRS.</w:t>
      </w:r>
    </w:p>
    <w:p w:rsidR="00D076F0" w:rsidRDefault="002749EF">
      <w:pPr>
        <w:tabs>
          <w:tab w:val="left" w:pos="864"/>
          <w:tab w:val="left" w:pos="2160"/>
          <w:tab w:val="left" w:pos="8280"/>
        </w:tabs>
        <w:ind w:right="14"/>
        <w:jc w:val="center"/>
      </w:pPr>
      <w:r>
        <w:rPr>
          <w:i/>
        </w:rPr>
        <w:br w:type="page"/>
      </w:r>
      <w:r>
        <w:t>-6-</w:t>
      </w:r>
    </w:p>
    <w:p w:rsidR="00D076F0" w:rsidRDefault="00D076F0">
      <w:pPr>
        <w:tabs>
          <w:tab w:val="left" w:pos="576"/>
          <w:tab w:val="left" w:pos="864"/>
          <w:tab w:val="left" w:pos="1584"/>
          <w:tab w:val="left" w:pos="2016"/>
          <w:tab w:val="left" w:pos="4032"/>
        </w:tabs>
        <w:ind w:right="14"/>
        <w:jc w:val="center"/>
      </w:pPr>
    </w:p>
    <w:p w:rsidR="00D076F0" w:rsidRDefault="002749EF">
      <w:pPr>
        <w:tabs>
          <w:tab w:val="left" w:pos="576"/>
          <w:tab w:val="left" w:pos="864"/>
          <w:tab w:val="left" w:pos="1584"/>
          <w:tab w:val="left" w:pos="2016"/>
          <w:tab w:val="left" w:pos="4032"/>
        </w:tabs>
        <w:ind w:right="14"/>
        <w:jc w:val="center"/>
      </w:pPr>
      <w:r>
        <w:t xml:space="preserve"> (CONVENIENCE TRANSLATION OF A REPORT A</w:t>
      </w:r>
      <w:r>
        <w:t>ND FINANCIAL STATEMENTS ORIGINALLY ISSUED IN TURKISH – SEE NOTE 9)</w:t>
      </w:r>
    </w:p>
    <w:p w:rsidR="00D076F0" w:rsidRDefault="00D076F0">
      <w:pPr>
        <w:tabs>
          <w:tab w:val="left" w:pos="864"/>
          <w:tab w:val="left" w:pos="2160"/>
          <w:tab w:val="left" w:pos="8280"/>
        </w:tabs>
        <w:ind w:right="14"/>
        <w:rPr>
          <w:i/>
        </w:rPr>
      </w:pPr>
    </w:p>
    <w:p w:rsidR="00D076F0" w:rsidRDefault="002749EF">
      <w:pPr>
        <w:tabs>
          <w:tab w:val="left" w:pos="864"/>
          <w:tab w:val="left" w:pos="2160"/>
          <w:tab w:val="left" w:pos="8280"/>
        </w:tabs>
        <w:ind w:right="14"/>
        <w:rPr>
          <w:i/>
        </w:rPr>
      </w:pPr>
      <w:r>
        <w:rPr>
          <w:i/>
        </w:rPr>
        <w:t>SIGNIFICANT ACCOUNTING POLICIES APPLIED:</w:t>
      </w:r>
    </w:p>
    <w:p w:rsidR="00D076F0" w:rsidRDefault="00D076F0">
      <w:pPr>
        <w:tabs>
          <w:tab w:val="left" w:pos="864"/>
          <w:tab w:val="left" w:pos="2160"/>
          <w:tab w:val="left" w:pos="8280"/>
        </w:tabs>
        <w:ind w:left="360" w:right="14" w:hanging="360"/>
      </w:pPr>
    </w:p>
    <w:p w:rsidR="00D076F0" w:rsidRDefault="002749EF">
      <w:pPr>
        <w:tabs>
          <w:tab w:val="left" w:pos="864"/>
          <w:tab w:val="left" w:pos="2160"/>
          <w:tab w:val="left" w:pos="8280"/>
        </w:tabs>
        <w:ind w:left="540" w:right="14"/>
        <w:rPr>
          <w:b/>
          <w:u w:val="single"/>
        </w:rPr>
      </w:pPr>
      <w:r>
        <w:rPr>
          <w:b/>
          <w:u w:val="single"/>
        </w:rPr>
        <w:t>(a) Income and Expense Recognition:</w:t>
      </w:r>
    </w:p>
    <w:p w:rsidR="00D076F0" w:rsidRDefault="00D076F0">
      <w:pPr>
        <w:tabs>
          <w:tab w:val="left" w:pos="864"/>
          <w:tab w:val="left" w:pos="2160"/>
          <w:tab w:val="left" w:pos="8280"/>
        </w:tabs>
        <w:ind w:left="540" w:right="14"/>
        <w:rPr>
          <w:b/>
          <w:u w:val="single"/>
        </w:rPr>
      </w:pPr>
    </w:p>
    <w:p w:rsidR="00D076F0" w:rsidRDefault="002749EF">
      <w:pPr>
        <w:tabs>
          <w:tab w:val="left" w:pos="864"/>
          <w:tab w:val="left" w:pos="2160"/>
          <w:tab w:val="left" w:pos="8280"/>
        </w:tabs>
        <w:ind w:left="540" w:right="14"/>
        <w:jc w:val="both"/>
      </w:pPr>
      <w:r>
        <w:t>Income and expenses are recognized on the accrual basis except for commission income and fees for various ban</w:t>
      </w:r>
      <w:r>
        <w:t>king services, which are recorded as income when, received.</w:t>
      </w:r>
    </w:p>
    <w:p w:rsidR="00D076F0" w:rsidRDefault="00D076F0">
      <w:pPr>
        <w:tabs>
          <w:tab w:val="left" w:pos="864"/>
          <w:tab w:val="left" w:pos="2160"/>
          <w:tab w:val="left" w:pos="8280"/>
        </w:tabs>
        <w:ind w:left="540" w:right="14"/>
      </w:pPr>
    </w:p>
    <w:p w:rsidR="00D076F0" w:rsidRDefault="002749EF">
      <w:pPr>
        <w:tabs>
          <w:tab w:val="left" w:pos="864"/>
          <w:tab w:val="left" w:pos="2160"/>
          <w:tab w:val="left" w:pos="8280"/>
        </w:tabs>
        <w:ind w:left="540" w:right="14"/>
        <w:rPr>
          <w:b/>
        </w:rPr>
      </w:pPr>
      <w:r>
        <w:rPr>
          <w:b/>
          <w:u w:val="single"/>
        </w:rPr>
        <w:t>(b) Marketable Securities and Long-Term Marketable Securities:</w:t>
      </w:r>
    </w:p>
    <w:p w:rsidR="00D076F0" w:rsidRDefault="00D076F0">
      <w:pPr>
        <w:tabs>
          <w:tab w:val="left" w:pos="864"/>
          <w:tab w:val="left" w:pos="2160"/>
          <w:tab w:val="left" w:pos="8280"/>
        </w:tabs>
        <w:ind w:left="540" w:right="14"/>
      </w:pPr>
    </w:p>
    <w:p w:rsidR="00D076F0" w:rsidRDefault="002749EF">
      <w:pPr>
        <w:pStyle w:val="BodyTextIndent2"/>
        <w:ind w:firstLine="0"/>
        <w:jc w:val="both"/>
      </w:pPr>
      <w:r>
        <w:t>As of June 30, 2002, valuation methods of marketable securities and long-term marketable securities have been changed in accordance</w:t>
      </w:r>
      <w:r>
        <w:t xml:space="preserve"> with the revisions made by the memorandum of the Banking Regulation Supervision Agency no. BDDK.DZM-2/13 – 3631 dated May 3, 2001.</w:t>
      </w:r>
    </w:p>
    <w:p w:rsidR="00D076F0" w:rsidRDefault="00D076F0">
      <w:pPr>
        <w:tabs>
          <w:tab w:val="left" w:pos="2160"/>
          <w:tab w:val="left" w:pos="8280"/>
        </w:tabs>
        <w:ind w:left="540" w:right="14"/>
        <w:jc w:val="both"/>
      </w:pPr>
    </w:p>
    <w:p w:rsidR="00D076F0" w:rsidRDefault="002749EF">
      <w:pPr>
        <w:pStyle w:val="Heading7"/>
        <w:ind w:left="810"/>
      </w:pPr>
      <w:r>
        <w:t>Marketable Securities</w:t>
      </w:r>
    </w:p>
    <w:p w:rsidR="00D076F0" w:rsidRDefault="00D076F0">
      <w:pPr>
        <w:tabs>
          <w:tab w:val="left" w:pos="864"/>
          <w:tab w:val="left" w:pos="2160"/>
          <w:tab w:val="left" w:pos="8280"/>
        </w:tabs>
        <w:ind w:left="540" w:right="14"/>
      </w:pPr>
    </w:p>
    <w:p w:rsidR="00D076F0" w:rsidRDefault="002749EF">
      <w:pPr>
        <w:tabs>
          <w:tab w:val="left" w:pos="1584"/>
        </w:tabs>
        <w:ind w:left="540" w:right="14"/>
        <w:jc w:val="both"/>
      </w:pPr>
      <w:r>
        <w:t>Available-for-sale and Held-for-trading securities are acquired for generating a profit from short-t</w:t>
      </w:r>
      <w:r>
        <w:t>erm fluctuations in price or dealer’s margin, or are securities included in a portfolio in which a pattern of short-term profit taking exists.  As of June 30, 2002, all Turkish lira debt securities are recognized at market prices that are based on last day</w:t>
      </w:r>
      <w:r>
        <w:t xml:space="preserve"> average quoted bid prices in ISE.  Foreign currency denominated debt securities are valued at their closing prices and translated at the foreign currency year-end rate of exchange on the balance sheet date.</w:t>
      </w:r>
      <w:r>
        <w:rPr>
          <w:color w:val="FF0000"/>
          <w:lang w:val="tr-TR"/>
        </w:rPr>
        <w:t xml:space="preserve">  </w:t>
      </w:r>
      <w:r>
        <w:t xml:space="preserve">The resulting foreign exchange gains or losses </w:t>
      </w:r>
      <w:r>
        <w:t>are recorded in the statement of income for the period. Income accrual on foreign currency denominated fixed-income securities (Eurobonds) are computed by using the internal rate of return method and are reflected in “Interest and other income accruals – M</w:t>
      </w:r>
      <w:r>
        <w:t xml:space="preserve">arketable Securities” in the accompanying consolidated financial statements. </w:t>
      </w:r>
    </w:p>
    <w:p w:rsidR="00D076F0" w:rsidRDefault="00D076F0">
      <w:pPr>
        <w:tabs>
          <w:tab w:val="left" w:pos="2160"/>
          <w:tab w:val="left" w:pos="8280"/>
        </w:tabs>
        <w:ind w:right="14"/>
        <w:jc w:val="both"/>
      </w:pPr>
    </w:p>
    <w:p w:rsidR="00D076F0" w:rsidRDefault="002749EF">
      <w:pPr>
        <w:pStyle w:val="Heading7"/>
        <w:ind w:left="810"/>
      </w:pPr>
      <w:r>
        <w:t>Long-Term Marketable Securities</w:t>
      </w:r>
    </w:p>
    <w:p w:rsidR="00D076F0" w:rsidRDefault="00D076F0">
      <w:pPr>
        <w:tabs>
          <w:tab w:val="left" w:pos="2160"/>
          <w:tab w:val="left" w:pos="8280"/>
        </w:tabs>
        <w:ind w:left="540" w:right="14"/>
        <w:jc w:val="both"/>
      </w:pPr>
    </w:p>
    <w:p w:rsidR="00D076F0" w:rsidRDefault="002749EF">
      <w:pPr>
        <w:ind w:left="540" w:right="14"/>
        <w:jc w:val="both"/>
        <w:rPr>
          <w:color w:val="FF0000"/>
        </w:rPr>
      </w:pPr>
      <w:r>
        <w:t>As of June 30, 2002, floating rate marketable securities that are pledged or given as collateral</w:t>
      </w:r>
      <w:r>
        <w:rPr>
          <w:color w:val="FF0000"/>
        </w:rPr>
        <w:t xml:space="preserve"> </w:t>
      </w:r>
      <w:r>
        <w:t>to the Central Bank for interbank money market,</w:t>
      </w:r>
      <w:r>
        <w:t xml:space="preserve"> and foreign currency transactions and securities held for disponibility reserve, that the Bank management intends to hold until maturity are classified as long-term marketable securities in the accompanying financial statements.</w:t>
      </w:r>
      <w:r>
        <w:rPr>
          <w:color w:val="FF0000"/>
          <w:lang w:val="tr-TR"/>
        </w:rPr>
        <w:t xml:space="preserve"> </w:t>
      </w:r>
    </w:p>
    <w:p w:rsidR="00D076F0" w:rsidRDefault="00D076F0">
      <w:pPr>
        <w:tabs>
          <w:tab w:val="left" w:pos="2160"/>
          <w:tab w:val="left" w:pos="8280"/>
        </w:tabs>
        <w:ind w:left="540" w:right="14"/>
        <w:jc w:val="both"/>
      </w:pPr>
    </w:p>
    <w:p w:rsidR="00D076F0" w:rsidRDefault="002749EF">
      <w:pPr>
        <w:tabs>
          <w:tab w:val="left" w:pos="2160"/>
          <w:tab w:val="left" w:pos="8280"/>
        </w:tabs>
        <w:ind w:left="540" w:right="14"/>
        <w:jc w:val="both"/>
      </w:pPr>
      <w:r>
        <w:t xml:space="preserve">Turkish lira government </w:t>
      </w:r>
      <w:r>
        <w:t xml:space="preserve">bonds and treasury bills which are included in the investment portfolio and are pledged or given as collateral are stated at cost. </w:t>
      </w:r>
    </w:p>
    <w:p w:rsidR="00D076F0" w:rsidRDefault="00D076F0">
      <w:pPr>
        <w:tabs>
          <w:tab w:val="left" w:pos="2160"/>
          <w:tab w:val="left" w:pos="8280"/>
        </w:tabs>
        <w:ind w:left="540" w:right="14"/>
        <w:jc w:val="both"/>
      </w:pPr>
    </w:p>
    <w:p w:rsidR="00D076F0" w:rsidRDefault="002749EF">
      <w:pPr>
        <w:tabs>
          <w:tab w:val="left" w:pos="1584"/>
        </w:tabs>
        <w:ind w:left="540" w:right="14"/>
        <w:jc w:val="both"/>
      </w:pPr>
      <w:r>
        <w:t>At the end of period interest income accrual on long-term marketable securities is calculated using the straight-line metho</w:t>
      </w:r>
      <w:r>
        <w:t xml:space="preserve">d and reflected in “Interest and other income accruals – Marketable Securities” in the accompanying consolidated financial statements. </w:t>
      </w:r>
    </w:p>
    <w:p w:rsidR="00D076F0" w:rsidRDefault="00D076F0">
      <w:pPr>
        <w:tabs>
          <w:tab w:val="left" w:pos="1584"/>
        </w:tabs>
        <w:ind w:left="540" w:right="14"/>
        <w:jc w:val="both"/>
      </w:pPr>
    </w:p>
    <w:p w:rsidR="00D076F0" w:rsidRDefault="002749EF">
      <w:pPr>
        <w:tabs>
          <w:tab w:val="left" w:pos="1584"/>
        </w:tabs>
        <w:ind w:left="540" w:right="14"/>
        <w:jc w:val="both"/>
      </w:pPr>
      <w:r>
        <w:t>Share certificates included in long-term marketable securities are reflected at restated costs.</w:t>
      </w:r>
    </w:p>
    <w:p w:rsidR="00D076F0" w:rsidRDefault="00D076F0">
      <w:pPr>
        <w:tabs>
          <w:tab w:val="left" w:pos="2160"/>
          <w:tab w:val="left" w:pos="8280"/>
        </w:tabs>
        <w:ind w:left="540" w:right="14"/>
        <w:jc w:val="both"/>
      </w:pPr>
    </w:p>
    <w:p w:rsidR="00D076F0" w:rsidRDefault="002749EF">
      <w:pPr>
        <w:ind w:left="547" w:right="14"/>
        <w:jc w:val="both"/>
      </w:pPr>
      <w:r>
        <w:t>For debt securities, t</w:t>
      </w:r>
      <w:r>
        <w:t>he pozitif or negatif differences between the acquisition cost and the value at the valuation date are reflected as interest and other accruals. Gains or losses on the disposal of “investment” securities are recognized using a specific identification basis</w:t>
      </w:r>
      <w:r>
        <w:t xml:space="preserve">, and reflected in gain/loss on capital market transactions account in the accompanying statement of income. </w:t>
      </w:r>
    </w:p>
    <w:p w:rsidR="00D076F0" w:rsidRDefault="002749EF">
      <w:pPr>
        <w:tabs>
          <w:tab w:val="left" w:pos="864"/>
          <w:tab w:val="left" w:pos="2160"/>
          <w:tab w:val="left" w:pos="8280"/>
        </w:tabs>
        <w:ind w:left="540" w:right="14"/>
        <w:jc w:val="both"/>
      </w:pPr>
      <w:r>
        <w:br w:type="page"/>
      </w:r>
    </w:p>
    <w:p w:rsidR="00D076F0" w:rsidRDefault="002749EF">
      <w:pPr>
        <w:tabs>
          <w:tab w:val="left" w:pos="864"/>
          <w:tab w:val="left" w:pos="2160"/>
          <w:tab w:val="left" w:pos="8280"/>
        </w:tabs>
        <w:ind w:left="540" w:right="14" w:hanging="540"/>
        <w:jc w:val="center"/>
      </w:pPr>
      <w:r>
        <w:t>-7-</w:t>
      </w:r>
    </w:p>
    <w:p w:rsidR="00D076F0" w:rsidRDefault="00D076F0">
      <w:pPr>
        <w:tabs>
          <w:tab w:val="left" w:pos="864"/>
          <w:tab w:val="left" w:pos="2160"/>
          <w:tab w:val="left" w:pos="8280"/>
        </w:tabs>
        <w:ind w:left="540" w:right="14" w:hanging="540"/>
        <w:jc w:val="center"/>
      </w:pPr>
    </w:p>
    <w:p w:rsidR="00D076F0" w:rsidRDefault="002749EF">
      <w:pPr>
        <w:tabs>
          <w:tab w:val="left" w:pos="864"/>
          <w:tab w:val="left" w:pos="2160"/>
          <w:tab w:val="left" w:pos="8280"/>
        </w:tabs>
        <w:ind w:left="540" w:right="14"/>
        <w:jc w:val="center"/>
        <w:rPr>
          <w:u w:val="single"/>
        </w:rPr>
      </w:pPr>
      <w:r>
        <w:t>(CONVENIENCE TRANSLATION OF A REPORT AND FINANCIAL STATEMENTS ORIGINALLY ISSUED IN TURKISH – SEE NOTE 9)</w:t>
      </w:r>
    </w:p>
    <w:p w:rsidR="00D076F0" w:rsidRDefault="00D076F0">
      <w:pPr>
        <w:tabs>
          <w:tab w:val="left" w:pos="864"/>
          <w:tab w:val="left" w:pos="2160"/>
          <w:tab w:val="left" w:pos="8280"/>
        </w:tabs>
        <w:ind w:left="540" w:right="14"/>
        <w:jc w:val="both"/>
      </w:pP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rPr>
          <w:b/>
          <w:u w:val="single"/>
        </w:rPr>
      </w:pPr>
      <w:r>
        <w:rPr>
          <w:b/>
          <w:u w:val="single"/>
        </w:rPr>
        <w:t>(c) Securities Under Resale or R</w:t>
      </w:r>
      <w:r>
        <w:rPr>
          <w:b/>
          <w:u w:val="single"/>
        </w:rPr>
        <w:t>epurchase Transactions:</w:t>
      </w:r>
    </w:p>
    <w:p w:rsidR="00D076F0" w:rsidRDefault="00D076F0">
      <w:pPr>
        <w:tabs>
          <w:tab w:val="left" w:pos="864"/>
          <w:tab w:val="left" w:pos="2160"/>
          <w:tab w:val="left" w:pos="8280"/>
        </w:tabs>
        <w:ind w:left="540" w:right="14"/>
      </w:pPr>
    </w:p>
    <w:p w:rsidR="00D076F0" w:rsidRDefault="002749EF">
      <w:pPr>
        <w:tabs>
          <w:tab w:val="left" w:pos="864"/>
          <w:tab w:val="left" w:pos="2160"/>
          <w:tab w:val="left" w:pos="8280"/>
        </w:tabs>
        <w:ind w:left="540" w:right="14"/>
        <w:jc w:val="both"/>
      </w:pPr>
      <w:r>
        <w:t>Repo and reverse repo transactions have been included in the balance sheet items since 01.02.2002 according to the accounting principle “substance over form” in accordance with the revisions made by the memorandum of the Banking Re</w:t>
      </w:r>
      <w:r>
        <w:t>gulation Supervision Agency no. BDDK.DZM-2/13 dated December 13, 2001, on the Accounting Principles Uniform Chart of Account and Explanations for Banks based on  the Article 2-a of the Banking Law 4389.</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Obligations relating to purchases or sales of securi</w:t>
      </w:r>
      <w:r>
        <w:t>ties under agreements for resale or repurchase are recognized by the Bank. Therefore government bond and treasury bills sold to customers under repurchase agreements are classified as securities subject to repo under long-term marketable securities and fun</w:t>
      </w:r>
      <w:r>
        <w:t xml:space="preserve">ds borrowed under securities repurchase agreements are reflected as a separate liability account. These transactions are short-term and entirely involve government securities.  Any gain or loss resulting from such transactions is reflected as gain or loss </w:t>
      </w:r>
      <w:r>
        <w:t>on capital market transactions in the accompanying income statements.  The net income/expense accrual on such securities is reflected in the financial statements at period ends.</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Interest income accrual on marketable securities sold under repurchase agreem</w:t>
      </w:r>
      <w:r>
        <w:t xml:space="preserve">ent at the valuation date, is reported at market value, while interest expense accrual is computed based on the interest commitment to the customer at the maturity. </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rPr>
          <w:b/>
          <w:u w:val="single"/>
        </w:rPr>
      </w:pPr>
      <w:r>
        <w:rPr>
          <w:b/>
          <w:u w:val="single"/>
        </w:rPr>
        <w:t>(d) Fixed Assets Acquired Under Financial Lease Agreements:</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All of the obligations are s</w:t>
      </w:r>
      <w:r>
        <w:t>hort-term and foreign currency.</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The fixed assets acquired under financial lease agreements are accounted in accordance with International Accounting Standard Number 17.</w:t>
      </w:r>
    </w:p>
    <w:p w:rsidR="00D076F0" w:rsidRDefault="00D076F0">
      <w:pPr>
        <w:tabs>
          <w:tab w:val="left" w:pos="864"/>
          <w:tab w:val="left" w:pos="2160"/>
          <w:tab w:val="left" w:pos="8280"/>
        </w:tabs>
        <w:ind w:right="14"/>
        <w:rPr>
          <w:u w:val="single"/>
        </w:rPr>
      </w:pPr>
    </w:p>
    <w:p w:rsidR="00D076F0" w:rsidRDefault="002749EF">
      <w:pPr>
        <w:tabs>
          <w:tab w:val="left" w:pos="864"/>
          <w:tab w:val="left" w:pos="2160"/>
          <w:tab w:val="left" w:pos="8280"/>
        </w:tabs>
        <w:ind w:left="540" w:right="14"/>
        <w:jc w:val="both"/>
        <w:rPr>
          <w:b/>
        </w:rPr>
      </w:pPr>
      <w:r>
        <w:rPr>
          <w:b/>
          <w:u w:val="single"/>
        </w:rPr>
        <w:t>(e) Financial Lease Receivables</w:t>
      </w:r>
      <w:r>
        <w:rPr>
          <w:b/>
        </w:rPr>
        <w:t>:</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Aggregate of interest and principal gross lease ren</w:t>
      </w:r>
      <w:r>
        <w:t>t payments are reflected in “lease receivables” account. The excess of aggregate lease rentals plus the estimated residual value over the cost of the leased asset constitutes the interest and reflected as “unearned income”.</w:t>
      </w:r>
    </w:p>
    <w:p w:rsidR="00D076F0" w:rsidRDefault="00D076F0">
      <w:pPr>
        <w:tabs>
          <w:tab w:val="left" w:pos="864"/>
          <w:tab w:val="left" w:pos="2160"/>
          <w:tab w:val="left" w:pos="8280"/>
        </w:tabs>
        <w:ind w:left="540" w:right="14"/>
        <w:jc w:val="both"/>
        <w:rPr>
          <w:u w:val="single"/>
        </w:rPr>
      </w:pPr>
    </w:p>
    <w:p w:rsidR="00D076F0" w:rsidRDefault="002749EF">
      <w:pPr>
        <w:tabs>
          <w:tab w:val="left" w:pos="864"/>
          <w:tab w:val="left" w:pos="2160"/>
          <w:tab w:val="left" w:pos="8280"/>
        </w:tabs>
        <w:ind w:left="540" w:right="14"/>
        <w:rPr>
          <w:b/>
          <w:u w:val="single"/>
        </w:rPr>
      </w:pPr>
      <w:r>
        <w:rPr>
          <w:b/>
          <w:u w:val="single"/>
        </w:rPr>
        <w:t>(f) Fixed Assets and Depreciati</w:t>
      </w:r>
      <w:r>
        <w:rPr>
          <w:b/>
          <w:u w:val="single"/>
        </w:rPr>
        <w:t>on:</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Fixed assets are reflected at restated costs. Depreciation is provided on the restated amounts of fixed assets using double declining or the straight-line method.  Depreciation rates approximate the rates, which correspond to the economic lives of the</w:t>
      </w:r>
      <w:r>
        <w:t xml:space="preserve"> related assets and are as follows:</w:t>
      </w:r>
    </w:p>
    <w:p w:rsidR="00D076F0" w:rsidRDefault="00D076F0">
      <w:pPr>
        <w:tabs>
          <w:tab w:val="left" w:pos="864"/>
          <w:tab w:val="left" w:pos="2160"/>
          <w:tab w:val="left" w:pos="8280"/>
        </w:tabs>
        <w:ind w:left="567" w:right="14"/>
      </w:pPr>
    </w:p>
    <w:tbl>
      <w:tblPr>
        <w:tblW w:w="0" w:type="auto"/>
        <w:tblInd w:w="1101" w:type="dxa"/>
        <w:tblLayout w:type="fixed"/>
        <w:tblLook w:val="0000" w:firstRow="0" w:lastRow="0" w:firstColumn="0" w:lastColumn="0" w:noHBand="0" w:noVBand="0"/>
      </w:tblPr>
      <w:tblGrid>
        <w:gridCol w:w="3510"/>
        <w:gridCol w:w="270"/>
        <w:gridCol w:w="3957"/>
      </w:tblGrid>
      <w:tr w:rsidR="00D076F0">
        <w:tc>
          <w:tcPr>
            <w:tcW w:w="3510" w:type="dxa"/>
          </w:tcPr>
          <w:p w:rsidR="00D076F0" w:rsidRDefault="00D076F0">
            <w:pPr>
              <w:tabs>
                <w:tab w:val="left" w:pos="864"/>
                <w:tab w:val="left" w:pos="2160"/>
                <w:tab w:val="left" w:pos="8280"/>
              </w:tabs>
              <w:ind w:right="14"/>
            </w:pPr>
          </w:p>
        </w:tc>
        <w:tc>
          <w:tcPr>
            <w:tcW w:w="270" w:type="dxa"/>
          </w:tcPr>
          <w:p w:rsidR="00D076F0" w:rsidRDefault="00D076F0">
            <w:pPr>
              <w:tabs>
                <w:tab w:val="left" w:pos="864"/>
                <w:tab w:val="left" w:pos="2160"/>
                <w:tab w:val="left" w:pos="8280"/>
              </w:tabs>
              <w:ind w:right="14"/>
            </w:pPr>
          </w:p>
        </w:tc>
        <w:tc>
          <w:tcPr>
            <w:tcW w:w="3957" w:type="dxa"/>
            <w:tcBorders>
              <w:bottom w:val="single" w:sz="4" w:space="0" w:color="auto"/>
            </w:tcBorders>
          </w:tcPr>
          <w:p w:rsidR="00D076F0" w:rsidRDefault="002749EF">
            <w:pPr>
              <w:tabs>
                <w:tab w:val="left" w:pos="864"/>
                <w:tab w:val="left" w:pos="2160"/>
                <w:tab w:val="left" w:pos="8280"/>
              </w:tabs>
              <w:ind w:right="14"/>
              <w:jc w:val="center"/>
            </w:pPr>
            <w:r>
              <w:t>Year</w:t>
            </w:r>
          </w:p>
        </w:tc>
      </w:tr>
      <w:tr w:rsidR="00D076F0">
        <w:tc>
          <w:tcPr>
            <w:tcW w:w="3510" w:type="dxa"/>
          </w:tcPr>
          <w:p w:rsidR="00D076F0" w:rsidRDefault="002749EF">
            <w:pPr>
              <w:tabs>
                <w:tab w:val="left" w:pos="864"/>
                <w:tab w:val="left" w:pos="2160"/>
                <w:tab w:val="left" w:pos="8280"/>
              </w:tabs>
              <w:ind w:right="14"/>
            </w:pPr>
            <w:r>
              <w:t>Buildings</w:t>
            </w:r>
          </w:p>
        </w:tc>
        <w:tc>
          <w:tcPr>
            <w:tcW w:w="270" w:type="dxa"/>
          </w:tcPr>
          <w:p w:rsidR="00D076F0" w:rsidRDefault="00D076F0">
            <w:pPr>
              <w:tabs>
                <w:tab w:val="left" w:pos="864"/>
                <w:tab w:val="left" w:pos="2160"/>
                <w:tab w:val="left" w:pos="8280"/>
              </w:tabs>
              <w:ind w:right="14"/>
            </w:pPr>
          </w:p>
        </w:tc>
        <w:tc>
          <w:tcPr>
            <w:tcW w:w="3957" w:type="dxa"/>
          </w:tcPr>
          <w:p w:rsidR="00D076F0" w:rsidRDefault="002749EF">
            <w:pPr>
              <w:tabs>
                <w:tab w:val="left" w:pos="864"/>
                <w:tab w:val="left" w:pos="2160"/>
                <w:tab w:val="left" w:pos="8280"/>
              </w:tabs>
              <w:ind w:right="14"/>
              <w:jc w:val="center"/>
            </w:pPr>
            <w:r>
              <w:t>50</w:t>
            </w:r>
          </w:p>
        </w:tc>
      </w:tr>
      <w:tr w:rsidR="00D076F0">
        <w:tc>
          <w:tcPr>
            <w:tcW w:w="3510" w:type="dxa"/>
          </w:tcPr>
          <w:p w:rsidR="00D076F0" w:rsidRDefault="002749EF">
            <w:pPr>
              <w:tabs>
                <w:tab w:val="left" w:pos="864"/>
                <w:tab w:val="left" w:pos="2160"/>
                <w:tab w:val="left" w:pos="8280"/>
              </w:tabs>
              <w:ind w:right="14"/>
            </w:pPr>
            <w:r>
              <w:t>Motor vehicles</w:t>
            </w:r>
          </w:p>
        </w:tc>
        <w:tc>
          <w:tcPr>
            <w:tcW w:w="270" w:type="dxa"/>
          </w:tcPr>
          <w:p w:rsidR="00D076F0" w:rsidRDefault="00D076F0">
            <w:pPr>
              <w:tabs>
                <w:tab w:val="left" w:pos="864"/>
                <w:tab w:val="left" w:pos="2160"/>
                <w:tab w:val="left" w:pos="8280"/>
              </w:tabs>
              <w:ind w:right="14"/>
            </w:pPr>
          </w:p>
        </w:tc>
        <w:tc>
          <w:tcPr>
            <w:tcW w:w="3957" w:type="dxa"/>
          </w:tcPr>
          <w:p w:rsidR="00D076F0" w:rsidRDefault="002749EF">
            <w:pPr>
              <w:tabs>
                <w:tab w:val="left" w:pos="864"/>
                <w:tab w:val="left" w:pos="2160"/>
                <w:tab w:val="left" w:pos="8280"/>
              </w:tabs>
              <w:ind w:right="14"/>
              <w:jc w:val="center"/>
            </w:pPr>
            <w:r>
              <w:t>5</w:t>
            </w:r>
          </w:p>
        </w:tc>
      </w:tr>
      <w:tr w:rsidR="00D076F0">
        <w:tc>
          <w:tcPr>
            <w:tcW w:w="3510" w:type="dxa"/>
          </w:tcPr>
          <w:p w:rsidR="00D076F0" w:rsidRDefault="002749EF">
            <w:pPr>
              <w:tabs>
                <w:tab w:val="left" w:pos="864"/>
                <w:tab w:val="left" w:pos="2160"/>
                <w:tab w:val="left" w:pos="8280"/>
              </w:tabs>
              <w:ind w:right="14"/>
            </w:pPr>
            <w:r>
              <w:t>Furniture and fixtures and vaults</w:t>
            </w:r>
          </w:p>
        </w:tc>
        <w:tc>
          <w:tcPr>
            <w:tcW w:w="270" w:type="dxa"/>
          </w:tcPr>
          <w:p w:rsidR="00D076F0" w:rsidRDefault="00D076F0">
            <w:pPr>
              <w:tabs>
                <w:tab w:val="left" w:pos="864"/>
                <w:tab w:val="left" w:pos="2160"/>
                <w:tab w:val="left" w:pos="8280"/>
              </w:tabs>
              <w:ind w:right="14"/>
            </w:pPr>
          </w:p>
        </w:tc>
        <w:tc>
          <w:tcPr>
            <w:tcW w:w="3957" w:type="dxa"/>
          </w:tcPr>
          <w:p w:rsidR="00D076F0" w:rsidRDefault="002749EF">
            <w:pPr>
              <w:tabs>
                <w:tab w:val="left" w:pos="864"/>
                <w:tab w:val="left" w:pos="2160"/>
                <w:tab w:val="left" w:pos="8280"/>
              </w:tabs>
              <w:ind w:right="14"/>
              <w:jc w:val="center"/>
            </w:pPr>
            <w:r>
              <w:t>5</w:t>
            </w:r>
          </w:p>
        </w:tc>
      </w:tr>
      <w:tr w:rsidR="00D076F0">
        <w:tc>
          <w:tcPr>
            <w:tcW w:w="3510" w:type="dxa"/>
          </w:tcPr>
          <w:p w:rsidR="00D076F0" w:rsidRDefault="002749EF">
            <w:pPr>
              <w:tabs>
                <w:tab w:val="left" w:pos="864"/>
                <w:tab w:val="left" w:pos="2160"/>
                <w:tab w:val="left" w:pos="8280"/>
              </w:tabs>
              <w:ind w:right="14"/>
            </w:pPr>
            <w:r>
              <w:t>Leasehold improvements</w:t>
            </w:r>
          </w:p>
        </w:tc>
        <w:tc>
          <w:tcPr>
            <w:tcW w:w="270" w:type="dxa"/>
          </w:tcPr>
          <w:p w:rsidR="00D076F0" w:rsidRDefault="00D076F0">
            <w:pPr>
              <w:tabs>
                <w:tab w:val="left" w:pos="864"/>
                <w:tab w:val="left" w:pos="2160"/>
                <w:tab w:val="left" w:pos="8280"/>
              </w:tabs>
              <w:ind w:right="14"/>
            </w:pPr>
          </w:p>
        </w:tc>
        <w:tc>
          <w:tcPr>
            <w:tcW w:w="3957" w:type="dxa"/>
          </w:tcPr>
          <w:p w:rsidR="00D076F0" w:rsidRDefault="002749EF">
            <w:pPr>
              <w:tabs>
                <w:tab w:val="left" w:pos="864"/>
                <w:tab w:val="left" w:pos="2160"/>
                <w:tab w:val="left" w:pos="8280"/>
              </w:tabs>
              <w:ind w:right="14"/>
              <w:jc w:val="center"/>
            </w:pPr>
            <w:r>
              <w:t>Not less than 5 years - Lease period</w:t>
            </w:r>
          </w:p>
        </w:tc>
      </w:tr>
      <w:tr w:rsidR="00D076F0">
        <w:tc>
          <w:tcPr>
            <w:tcW w:w="3510" w:type="dxa"/>
          </w:tcPr>
          <w:p w:rsidR="00D076F0" w:rsidRDefault="00D076F0">
            <w:pPr>
              <w:tabs>
                <w:tab w:val="left" w:pos="864"/>
                <w:tab w:val="left" w:pos="2160"/>
                <w:tab w:val="left" w:pos="8280"/>
              </w:tabs>
              <w:ind w:right="14"/>
            </w:pPr>
          </w:p>
        </w:tc>
        <w:tc>
          <w:tcPr>
            <w:tcW w:w="270" w:type="dxa"/>
          </w:tcPr>
          <w:p w:rsidR="00D076F0" w:rsidRDefault="00D076F0">
            <w:pPr>
              <w:tabs>
                <w:tab w:val="left" w:pos="864"/>
                <w:tab w:val="left" w:pos="2160"/>
                <w:tab w:val="left" w:pos="8280"/>
              </w:tabs>
              <w:ind w:right="14"/>
            </w:pPr>
          </w:p>
        </w:tc>
        <w:tc>
          <w:tcPr>
            <w:tcW w:w="3957" w:type="dxa"/>
          </w:tcPr>
          <w:p w:rsidR="00D076F0" w:rsidRDefault="00D076F0">
            <w:pPr>
              <w:tabs>
                <w:tab w:val="left" w:pos="864"/>
                <w:tab w:val="left" w:pos="2160"/>
                <w:tab w:val="left" w:pos="8280"/>
              </w:tabs>
              <w:ind w:right="14"/>
              <w:jc w:val="center"/>
            </w:pPr>
          </w:p>
        </w:tc>
      </w:tr>
    </w:tbl>
    <w:p w:rsidR="00D076F0" w:rsidRDefault="00D076F0">
      <w:pPr>
        <w:tabs>
          <w:tab w:val="left" w:pos="864"/>
          <w:tab w:val="left" w:pos="2160"/>
          <w:tab w:val="left" w:pos="8280"/>
        </w:tabs>
        <w:ind w:left="540" w:right="14" w:hanging="540"/>
        <w:jc w:val="center"/>
      </w:pPr>
    </w:p>
    <w:p w:rsidR="00D076F0" w:rsidRDefault="002749EF">
      <w:pPr>
        <w:tabs>
          <w:tab w:val="left" w:pos="864"/>
          <w:tab w:val="left" w:pos="2160"/>
          <w:tab w:val="left" w:pos="8280"/>
        </w:tabs>
        <w:ind w:left="540" w:right="14" w:hanging="540"/>
        <w:jc w:val="center"/>
      </w:pPr>
      <w:r>
        <w:br w:type="page"/>
        <w:t>-8-</w:t>
      </w:r>
    </w:p>
    <w:p w:rsidR="00D076F0" w:rsidRDefault="00D076F0">
      <w:pPr>
        <w:tabs>
          <w:tab w:val="left" w:pos="864"/>
          <w:tab w:val="left" w:pos="2160"/>
          <w:tab w:val="left" w:pos="8280"/>
        </w:tabs>
        <w:ind w:left="540" w:right="14" w:hanging="540"/>
        <w:jc w:val="center"/>
      </w:pPr>
    </w:p>
    <w:p w:rsidR="00D076F0" w:rsidRDefault="002749EF">
      <w:pPr>
        <w:tabs>
          <w:tab w:val="left" w:pos="864"/>
          <w:tab w:val="left" w:pos="2160"/>
          <w:tab w:val="left" w:pos="8280"/>
        </w:tabs>
        <w:ind w:left="540" w:right="14"/>
        <w:jc w:val="center"/>
        <w:rPr>
          <w:u w:val="single"/>
        </w:rPr>
      </w:pPr>
      <w:r>
        <w:t>(CONVENIENCE TRANSLATION OF A REPORT AND FINANCIAL STATEMENTS ORIG</w:t>
      </w:r>
      <w:r>
        <w:t>INALLY ISSUED IN TURKISH – SEE NOTE 9)</w:t>
      </w:r>
    </w:p>
    <w:p w:rsidR="00D076F0" w:rsidRDefault="00D076F0">
      <w:pPr>
        <w:tabs>
          <w:tab w:val="left" w:pos="864"/>
          <w:tab w:val="left" w:pos="2160"/>
          <w:tab w:val="left" w:pos="8280"/>
        </w:tabs>
        <w:ind w:left="540" w:right="14"/>
        <w:rPr>
          <w:u w:val="single"/>
        </w:rPr>
      </w:pPr>
    </w:p>
    <w:p w:rsidR="00D076F0" w:rsidRDefault="00D076F0">
      <w:pPr>
        <w:tabs>
          <w:tab w:val="left" w:pos="864"/>
          <w:tab w:val="left" w:pos="2160"/>
          <w:tab w:val="left" w:pos="8280"/>
        </w:tabs>
        <w:ind w:left="540" w:right="14"/>
        <w:rPr>
          <w:u w:val="single"/>
        </w:rPr>
      </w:pPr>
    </w:p>
    <w:p w:rsidR="00D076F0" w:rsidRDefault="002749EF">
      <w:pPr>
        <w:tabs>
          <w:tab w:val="left" w:pos="2160"/>
          <w:tab w:val="left" w:pos="8280"/>
        </w:tabs>
        <w:ind w:left="540" w:right="14"/>
        <w:jc w:val="both"/>
        <w:rPr>
          <w:b/>
          <w:u w:val="single"/>
        </w:rPr>
      </w:pPr>
      <w:r>
        <w:rPr>
          <w:b/>
          <w:u w:val="single"/>
        </w:rPr>
        <w:t>(g) Foreign Currency Transactions:</w:t>
      </w:r>
    </w:p>
    <w:p w:rsidR="00D076F0" w:rsidRDefault="00D076F0">
      <w:pPr>
        <w:tabs>
          <w:tab w:val="left" w:pos="2160"/>
          <w:tab w:val="left" w:pos="8280"/>
        </w:tabs>
        <w:ind w:left="540" w:right="14"/>
        <w:jc w:val="both"/>
      </w:pPr>
    </w:p>
    <w:p w:rsidR="00D076F0" w:rsidRDefault="002749EF">
      <w:pPr>
        <w:tabs>
          <w:tab w:val="left" w:pos="2160"/>
          <w:tab w:val="left" w:pos="8280"/>
        </w:tabs>
        <w:ind w:left="540" w:right="14"/>
        <w:jc w:val="both"/>
      </w:pPr>
      <w:r>
        <w:t>Gains and losses arising from foreign currency transactions are reflected in the income statements as realized during the course of the year.  Foreign currency assets and liabilit</w:t>
      </w:r>
      <w:r>
        <w:t>ies at period end have been translated into Turkish lira at period-end foreign exchange rates, the effects of which are also recorded in the income statements as foreign exchange gain or loss.  As of June 30, 2002 the buying rate of exchange announced by t</w:t>
      </w:r>
      <w:r>
        <w:t>he Bank for the US$ is TL1,569,143.</w:t>
      </w:r>
    </w:p>
    <w:p w:rsidR="00D076F0" w:rsidRDefault="00D076F0">
      <w:pPr>
        <w:tabs>
          <w:tab w:val="left" w:pos="2160"/>
          <w:tab w:val="left" w:pos="8280"/>
        </w:tabs>
        <w:ind w:left="540" w:right="14"/>
        <w:jc w:val="both"/>
      </w:pPr>
    </w:p>
    <w:p w:rsidR="00D076F0" w:rsidRDefault="002749EF">
      <w:pPr>
        <w:tabs>
          <w:tab w:val="left" w:pos="2160"/>
          <w:tab w:val="left" w:pos="8280"/>
        </w:tabs>
        <w:ind w:left="540" w:right="14"/>
        <w:jc w:val="both"/>
      </w:pPr>
      <w:r>
        <w:t>The financial statements of foreign entities which are included in consolidation are translated with the Parent’s year end foreign exchange rate for the balance sheet and the period average foreign exchange rate for the</w:t>
      </w:r>
      <w:r>
        <w:t xml:space="preserve"> income statement up to June 30, 2002. The difference derived from the translation of income statement items by the period average foreign exchange rate is classified as valuation differences in the accompanying consolidated balance sheet.  </w:t>
      </w:r>
    </w:p>
    <w:p w:rsidR="00D076F0" w:rsidRDefault="00D076F0">
      <w:pPr>
        <w:tabs>
          <w:tab w:val="left" w:pos="864"/>
          <w:tab w:val="left" w:pos="2160"/>
          <w:tab w:val="left" w:pos="8280"/>
        </w:tabs>
        <w:ind w:left="540" w:right="14"/>
        <w:rPr>
          <w:u w:val="single"/>
        </w:rPr>
      </w:pPr>
    </w:p>
    <w:p w:rsidR="00D076F0" w:rsidRDefault="00D076F0">
      <w:pPr>
        <w:tabs>
          <w:tab w:val="left" w:pos="864"/>
          <w:tab w:val="left" w:pos="2160"/>
          <w:tab w:val="left" w:pos="8280"/>
        </w:tabs>
        <w:ind w:left="540" w:right="14"/>
        <w:rPr>
          <w:u w:val="single"/>
        </w:rPr>
      </w:pPr>
    </w:p>
    <w:p w:rsidR="00D076F0" w:rsidRDefault="002749EF">
      <w:pPr>
        <w:tabs>
          <w:tab w:val="left" w:pos="2160"/>
          <w:tab w:val="left" w:pos="8280"/>
        </w:tabs>
        <w:ind w:left="540" w:right="14"/>
        <w:jc w:val="both"/>
        <w:rPr>
          <w:b/>
          <w:u w:val="single"/>
        </w:rPr>
      </w:pPr>
      <w:r>
        <w:rPr>
          <w:b/>
          <w:u w:val="single"/>
        </w:rPr>
        <w:t>(h) Deferred</w:t>
      </w:r>
      <w:r>
        <w:rPr>
          <w:b/>
          <w:u w:val="single"/>
        </w:rPr>
        <w:t xml:space="preserve"> Taxation:</w:t>
      </w:r>
    </w:p>
    <w:p w:rsidR="00D076F0" w:rsidRDefault="00D076F0">
      <w:pPr>
        <w:tabs>
          <w:tab w:val="left" w:pos="2160"/>
          <w:tab w:val="left" w:pos="8280"/>
        </w:tabs>
        <w:ind w:left="540" w:right="14"/>
        <w:jc w:val="both"/>
      </w:pPr>
    </w:p>
    <w:p w:rsidR="00D076F0" w:rsidRDefault="002749EF">
      <w:pPr>
        <w:tabs>
          <w:tab w:val="left" w:pos="2160"/>
          <w:tab w:val="left" w:pos="8280"/>
        </w:tabs>
        <w:ind w:left="540" w:right="14"/>
        <w:jc w:val="both"/>
      </w:pPr>
      <w:r>
        <w:t>Certain income and expense items are taxable in periods different than those in which they are recognized in the accompanying financial statements (timing differences).  The Bank provided reserve for deferred tax in the accompanying financial s</w:t>
      </w:r>
      <w:r>
        <w:t>tatements based on the liability method.</w:t>
      </w:r>
    </w:p>
    <w:p w:rsidR="00D076F0" w:rsidRDefault="00D076F0">
      <w:pPr>
        <w:tabs>
          <w:tab w:val="left" w:pos="2160"/>
          <w:tab w:val="left" w:pos="8280"/>
        </w:tabs>
        <w:ind w:right="14"/>
        <w:jc w:val="both"/>
      </w:pPr>
    </w:p>
    <w:p w:rsidR="00D076F0" w:rsidRDefault="002749EF">
      <w:pPr>
        <w:tabs>
          <w:tab w:val="left" w:pos="2160"/>
          <w:tab w:val="left" w:pos="8280"/>
        </w:tabs>
        <w:ind w:left="540" w:right="14"/>
        <w:jc w:val="both"/>
      </w:pPr>
      <w:r>
        <w:t>As of June 30, 2002, the Bank, subsidiaries and participations which were included in consolidation provided full reserve  (100%) for deferred tax liability.</w:t>
      </w:r>
    </w:p>
    <w:p w:rsidR="00D076F0" w:rsidRDefault="00D076F0">
      <w:pPr>
        <w:tabs>
          <w:tab w:val="left" w:pos="2160"/>
          <w:tab w:val="left" w:pos="8280"/>
        </w:tabs>
        <w:ind w:left="540" w:right="14"/>
        <w:jc w:val="both"/>
      </w:pPr>
    </w:p>
    <w:p w:rsidR="00D076F0" w:rsidRDefault="002749EF">
      <w:pPr>
        <w:tabs>
          <w:tab w:val="left" w:pos="2160"/>
          <w:tab w:val="left" w:pos="8280"/>
        </w:tabs>
        <w:ind w:left="540" w:right="14"/>
        <w:rPr>
          <w:b/>
          <w:u w:val="single"/>
        </w:rPr>
      </w:pPr>
      <w:r>
        <w:rPr>
          <w:b/>
          <w:u w:val="single"/>
        </w:rPr>
        <w:t>(i) Reserve for Possible Loan Losses and Other Receivab</w:t>
      </w:r>
      <w:r>
        <w:rPr>
          <w:b/>
          <w:u w:val="single"/>
        </w:rPr>
        <w:t>les:</w:t>
      </w:r>
    </w:p>
    <w:p w:rsidR="00D076F0" w:rsidRDefault="00D076F0">
      <w:pPr>
        <w:tabs>
          <w:tab w:val="left" w:pos="2160"/>
          <w:tab w:val="left" w:pos="8280"/>
        </w:tabs>
        <w:ind w:left="540" w:right="14"/>
      </w:pPr>
    </w:p>
    <w:p w:rsidR="00D076F0" w:rsidRDefault="002749EF">
      <w:pPr>
        <w:ind w:left="540"/>
        <w:jc w:val="both"/>
      </w:pPr>
      <w:r>
        <w:t>Reserve for loans in follow up are provided with respect to the Banking Law No.4389 as revised by Law Number 4672 and 4491, Article 3, Sub Article 11 and Article 11, Sub Article 12 published on the Official Gazette No. 24448 dated 30.06.2001 on “Meth</w:t>
      </w:r>
      <w:r>
        <w:t>ods and Principles for the Determination of Loans and Other Receivables to be Reserved for and Allocation of Reserves”.</w:t>
      </w:r>
    </w:p>
    <w:p w:rsidR="00D076F0" w:rsidRDefault="00D076F0">
      <w:pPr>
        <w:ind w:left="540"/>
        <w:jc w:val="both"/>
      </w:pPr>
    </w:p>
    <w:p w:rsidR="00D076F0" w:rsidRDefault="002749EF">
      <w:pPr>
        <w:ind w:left="540"/>
        <w:jc w:val="both"/>
      </w:pPr>
      <w:r>
        <w:t>Furthermore, a general reserve of 0.5% is being provided for the cash loans and other receivables and 0.1 % is provided for non-cash lo</w:t>
      </w:r>
      <w:r>
        <w:t>ans.</w:t>
      </w:r>
    </w:p>
    <w:p w:rsidR="00D076F0" w:rsidRDefault="00D076F0">
      <w:pPr>
        <w:tabs>
          <w:tab w:val="left" w:pos="2160"/>
          <w:tab w:val="left" w:pos="8280"/>
        </w:tabs>
        <w:ind w:right="14"/>
      </w:pPr>
    </w:p>
    <w:p w:rsidR="00D076F0" w:rsidRDefault="00D076F0">
      <w:pPr>
        <w:tabs>
          <w:tab w:val="left" w:pos="2160"/>
          <w:tab w:val="left" w:pos="8280"/>
        </w:tabs>
        <w:ind w:right="14"/>
      </w:pPr>
    </w:p>
    <w:p w:rsidR="00D076F0" w:rsidRDefault="002749EF">
      <w:pPr>
        <w:tabs>
          <w:tab w:val="left" w:pos="864"/>
          <w:tab w:val="left" w:pos="2160"/>
          <w:tab w:val="left" w:pos="8280"/>
        </w:tabs>
        <w:ind w:left="540" w:right="14"/>
        <w:rPr>
          <w:b/>
          <w:u w:val="single"/>
        </w:rPr>
      </w:pPr>
      <w:r>
        <w:rPr>
          <w:b/>
          <w:u w:val="single"/>
        </w:rPr>
        <w:t>(j) Trust Assets:</w:t>
      </w:r>
    </w:p>
    <w:p w:rsidR="00D076F0" w:rsidRDefault="00D076F0">
      <w:pPr>
        <w:tabs>
          <w:tab w:val="left" w:pos="864"/>
          <w:tab w:val="left" w:pos="2160"/>
          <w:tab w:val="left" w:pos="8280"/>
        </w:tabs>
        <w:ind w:left="540" w:right="14"/>
      </w:pPr>
    </w:p>
    <w:p w:rsidR="00D076F0" w:rsidRDefault="002749EF">
      <w:pPr>
        <w:tabs>
          <w:tab w:val="left" w:pos="864"/>
          <w:tab w:val="left" w:pos="2160"/>
          <w:tab w:val="left" w:pos="8280"/>
        </w:tabs>
        <w:ind w:left="540" w:right="14"/>
        <w:jc w:val="both"/>
      </w:pPr>
      <w:r>
        <w:t>Assets, other than cash deposits, held by the Bank in fiduciary, agency or custodian capacities for its customers are not included in the accompanying balance sheets, since such items are not assets of the Bank.</w:t>
      </w:r>
    </w:p>
    <w:p w:rsidR="00D076F0" w:rsidRDefault="002749EF">
      <w:pPr>
        <w:tabs>
          <w:tab w:val="left" w:pos="2160"/>
          <w:tab w:val="left" w:pos="8280"/>
        </w:tabs>
        <w:ind w:left="540" w:right="14"/>
      </w:pPr>
      <w:r>
        <w:br w:type="page"/>
      </w:r>
    </w:p>
    <w:p w:rsidR="00D076F0" w:rsidRDefault="002749EF">
      <w:pPr>
        <w:tabs>
          <w:tab w:val="left" w:pos="2160"/>
          <w:tab w:val="left" w:pos="8280"/>
        </w:tabs>
        <w:ind w:left="540" w:right="14" w:hanging="450"/>
        <w:jc w:val="center"/>
      </w:pPr>
      <w:r>
        <w:t>-9-</w:t>
      </w:r>
    </w:p>
    <w:p w:rsidR="00D076F0" w:rsidRDefault="00D076F0">
      <w:pPr>
        <w:tabs>
          <w:tab w:val="left" w:pos="2160"/>
          <w:tab w:val="left" w:pos="8280"/>
        </w:tabs>
        <w:ind w:left="540" w:right="14" w:hanging="450"/>
        <w:jc w:val="center"/>
      </w:pPr>
    </w:p>
    <w:p w:rsidR="00D076F0" w:rsidRDefault="002749EF">
      <w:pPr>
        <w:tabs>
          <w:tab w:val="left" w:pos="864"/>
          <w:tab w:val="left" w:pos="2160"/>
          <w:tab w:val="left" w:pos="8280"/>
        </w:tabs>
        <w:ind w:left="540" w:right="14"/>
        <w:jc w:val="center"/>
        <w:rPr>
          <w:u w:val="single"/>
        </w:rPr>
      </w:pPr>
      <w:r>
        <w:t>(CONVENIENC</w:t>
      </w:r>
      <w:r>
        <w:t>E TRANSLATION OF A REPORT AND FINANCIAL STATEMENTS ORIGINALLY ISSUED IN TURKISH – SEE NOTE 9)</w:t>
      </w:r>
    </w:p>
    <w:p w:rsidR="00D076F0" w:rsidRDefault="00D076F0">
      <w:pPr>
        <w:tabs>
          <w:tab w:val="left" w:pos="2160"/>
          <w:tab w:val="left" w:pos="8280"/>
        </w:tabs>
        <w:ind w:left="540" w:right="14"/>
      </w:pPr>
    </w:p>
    <w:p w:rsidR="00D076F0" w:rsidRDefault="00D076F0">
      <w:pPr>
        <w:tabs>
          <w:tab w:val="left" w:pos="2160"/>
          <w:tab w:val="left" w:pos="8280"/>
        </w:tabs>
        <w:ind w:left="540" w:right="14"/>
      </w:pPr>
    </w:p>
    <w:p w:rsidR="00D076F0" w:rsidRDefault="002749EF">
      <w:pPr>
        <w:tabs>
          <w:tab w:val="left" w:pos="864"/>
          <w:tab w:val="left" w:pos="2160"/>
          <w:tab w:val="left" w:pos="8280"/>
        </w:tabs>
        <w:ind w:left="540" w:right="14"/>
        <w:jc w:val="both"/>
        <w:rPr>
          <w:b/>
          <w:u w:val="single"/>
        </w:rPr>
      </w:pPr>
      <w:r>
        <w:rPr>
          <w:b/>
          <w:u w:val="single"/>
        </w:rPr>
        <w:t>(k) Retirement Pay:</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Retirement pay liability is computed and reflected in the accompanying financial statements on a current basis as it is earned by the servi</w:t>
      </w:r>
      <w:r>
        <w:t>ng employees.  The liability amount represents the liability of the Bank with respect to eligible employees as computed based on the experience factors of the personnel terminated and the calculation method prescribed in the “Accounting Standards for Banks</w:t>
      </w:r>
      <w:r>
        <w:t xml:space="preserve">”. Such liability is terminated when related personnel’s employment terminated. </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 xml:space="preserve">Retirement Pay Liability is calculated based on retirement pay ceiling officially announced.  </w:t>
      </w:r>
    </w:p>
    <w:p w:rsidR="00D076F0" w:rsidRDefault="00D076F0">
      <w:pPr>
        <w:tabs>
          <w:tab w:val="left" w:pos="864"/>
          <w:tab w:val="left" w:pos="2160"/>
          <w:tab w:val="left" w:pos="8280"/>
        </w:tabs>
        <w:ind w:left="540" w:right="14"/>
        <w:jc w:val="both"/>
      </w:pPr>
    </w:p>
    <w:p w:rsidR="00D076F0" w:rsidRDefault="002749EF">
      <w:pPr>
        <w:tabs>
          <w:tab w:val="left" w:pos="864"/>
          <w:tab w:val="left" w:pos="2160"/>
          <w:tab w:val="left" w:pos="8280"/>
        </w:tabs>
        <w:ind w:left="540" w:right="14"/>
        <w:jc w:val="both"/>
      </w:pPr>
      <w:r>
        <w:t>The Bank does not have a pension fund for its employees.</w:t>
      </w:r>
    </w:p>
    <w:p w:rsidR="00D076F0" w:rsidRDefault="00D076F0">
      <w:pPr>
        <w:tabs>
          <w:tab w:val="left" w:pos="2160"/>
          <w:tab w:val="left" w:pos="8280"/>
        </w:tabs>
        <w:ind w:left="540" w:right="14"/>
      </w:pPr>
    </w:p>
    <w:p w:rsidR="00D076F0" w:rsidRDefault="00D076F0">
      <w:pPr>
        <w:tabs>
          <w:tab w:val="left" w:pos="2160"/>
          <w:tab w:val="left" w:pos="8280"/>
        </w:tabs>
        <w:ind w:right="14"/>
      </w:pPr>
    </w:p>
    <w:p w:rsidR="00D076F0" w:rsidRDefault="002749EF">
      <w:pPr>
        <w:tabs>
          <w:tab w:val="left" w:pos="864"/>
          <w:tab w:val="left" w:pos="2160"/>
          <w:tab w:val="left" w:pos="8280"/>
        </w:tabs>
        <w:ind w:left="567" w:right="14"/>
        <w:rPr>
          <w:b/>
          <w:u w:val="single"/>
        </w:rPr>
      </w:pPr>
      <w:r>
        <w:rPr>
          <w:b/>
          <w:u w:val="single"/>
        </w:rPr>
        <w:t>(l) Consolidation:</w:t>
      </w:r>
    </w:p>
    <w:p w:rsidR="00D076F0" w:rsidRDefault="00D076F0">
      <w:pPr>
        <w:tabs>
          <w:tab w:val="left" w:pos="720"/>
          <w:tab w:val="left" w:pos="1584"/>
        </w:tabs>
        <w:ind w:left="570" w:right="14"/>
        <w:jc w:val="both"/>
      </w:pPr>
    </w:p>
    <w:p w:rsidR="00D076F0" w:rsidRDefault="002749EF">
      <w:pPr>
        <w:tabs>
          <w:tab w:val="left" w:pos="720"/>
          <w:tab w:val="left" w:pos="1584"/>
        </w:tabs>
        <w:ind w:left="570" w:right="14"/>
        <w:jc w:val="both"/>
      </w:pPr>
      <w:r>
        <w:t xml:space="preserve">The consolidated balance sheet has been prepared by putting together the assets and liabilities of the financial institutions referred to in Note 1.  The principles of the consolidation followed in the preparation of the consolidated financial statements </w:t>
      </w:r>
      <w:r>
        <w:t>are as follows:</w:t>
      </w:r>
    </w:p>
    <w:p w:rsidR="00D076F0" w:rsidRDefault="00D076F0">
      <w:pPr>
        <w:tabs>
          <w:tab w:val="left" w:pos="720"/>
          <w:tab w:val="left" w:pos="1584"/>
        </w:tabs>
        <w:ind w:left="570" w:right="14"/>
        <w:jc w:val="both"/>
      </w:pPr>
    </w:p>
    <w:p w:rsidR="00D076F0" w:rsidRDefault="002749EF">
      <w:pPr>
        <w:ind w:left="1080" w:right="14" w:hanging="540"/>
        <w:jc w:val="both"/>
      </w:pPr>
      <w:r>
        <w:t>i)</w:t>
      </w:r>
      <w:r>
        <w:tab/>
        <w:t>The financial statements of the subsidiaries which have been prepared in accordance with the Turkish Commercial Code, Financial Leasing Law and the generally accepted accounting principles issued by the Capital Market Board and the comm</w:t>
      </w:r>
      <w:r>
        <w:t xml:space="preserve">uniqués proposing amendments to the related communiqués on the preparation of the financial statements and reports, have been adjusted to comply with the “Accounting Standards for Banks” as defined per Article 13 of the Banking Law 4389 and the communiqué </w:t>
      </w:r>
      <w:r>
        <w:t>of “Special Independent Audit Basics and Procedures by the Banking Law 4389 temporary article 4th”.</w:t>
      </w:r>
    </w:p>
    <w:p w:rsidR="00D076F0" w:rsidRDefault="00D076F0">
      <w:pPr>
        <w:ind w:left="1080" w:right="14" w:hanging="540"/>
        <w:jc w:val="both"/>
      </w:pPr>
    </w:p>
    <w:p w:rsidR="00D076F0" w:rsidRDefault="002749EF">
      <w:pPr>
        <w:ind w:left="1080" w:right="14" w:hanging="540"/>
        <w:jc w:val="both"/>
      </w:pPr>
      <w:r>
        <w:t>ii)</w:t>
      </w:r>
      <w:r>
        <w:tab/>
        <w:t>The parent company and the consolidated subsidiaries’ assets and liabilities excluding shareholders equity are consolidated on a line-by-line basis.</w:t>
      </w:r>
    </w:p>
    <w:p w:rsidR="00D076F0" w:rsidRDefault="00D076F0">
      <w:pPr>
        <w:ind w:left="1080" w:right="14" w:hanging="540"/>
        <w:jc w:val="both"/>
      </w:pPr>
    </w:p>
    <w:p w:rsidR="00D076F0" w:rsidRDefault="002749EF">
      <w:pPr>
        <w:ind w:left="1080" w:right="14" w:hanging="540"/>
        <w:jc w:val="both"/>
      </w:pPr>
      <w:r>
        <w:t>i</w:t>
      </w:r>
      <w:r>
        <w:t>ii)</w:t>
      </w:r>
      <w:r>
        <w:tab/>
        <w:t>All significant intercompany payables and receivables between consolidated companies have been eliminated.</w:t>
      </w:r>
    </w:p>
    <w:p w:rsidR="00D076F0" w:rsidRDefault="00D076F0">
      <w:pPr>
        <w:ind w:left="1080" w:right="14" w:hanging="540"/>
        <w:jc w:val="both"/>
      </w:pPr>
    </w:p>
    <w:p w:rsidR="00D076F0" w:rsidRDefault="002749EF">
      <w:pPr>
        <w:ind w:left="1080" w:right="14" w:hanging="540"/>
        <w:jc w:val="both"/>
      </w:pPr>
      <w:r>
        <w:t>iv)</w:t>
      </w:r>
      <w:r>
        <w:tab/>
        <w:t>All significant intercompany income and expense items between consolidated companies have been eliminated.</w:t>
      </w:r>
    </w:p>
    <w:p w:rsidR="00D076F0" w:rsidRDefault="00D076F0">
      <w:pPr>
        <w:tabs>
          <w:tab w:val="left" w:pos="864"/>
          <w:tab w:val="left" w:pos="2160"/>
          <w:tab w:val="left" w:pos="8280"/>
        </w:tabs>
        <w:ind w:left="567" w:right="14"/>
        <w:jc w:val="both"/>
      </w:pPr>
    </w:p>
    <w:p w:rsidR="00D076F0" w:rsidRDefault="002749EF">
      <w:pPr>
        <w:tabs>
          <w:tab w:val="left" w:pos="2160"/>
          <w:tab w:val="left" w:pos="8280"/>
        </w:tabs>
        <w:ind w:left="1080" w:right="14" w:hanging="513"/>
        <w:jc w:val="both"/>
      </w:pPr>
      <w:r>
        <w:t>v)</w:t>
      </w:r>
      <w:r>
        <w:tab/>
        <w:t xml:space="preserve">As of June 30, 2002, TL1,058 </w:t>
      </w:r>
      <w:r>
        <w:t>represents the share of minority in the group’s consolidated net income and TL16,548 represents the share of minority in the group’s consolidated equity.</w:t>
      </w:r>
    </w:p>
    <w:p w:rsidR="00D076F0" w:rsidRDefault="00D076F0">
      <w:pPr>
        <w:tabs>
          <w:tab w:val="left" w:pos="2160"/>
        </w:tabs>
        <w:ind w:right="14"/>
      </w:pPr>
    </w:p>
    <w:p w:rsidR="00D076F0" w:rsidRDefault="00D076F0">
      <w:pPr>
        <w:tabs>
          <w:tab w:val="left" w:pos="2160"/>
        </w:tabs>
        <w:ind w:right="14"/>
      </w:pPr>
    </w:p>
    <w:p w:rsidR="00D076F0" w:rsidRDefault="002749EF">
      <w:pPr>
        <w:tabs>
          <w:tab w:val="left" w:pos="1584"/>
        </w:tabs>
        <w:ind w:left="720" w:right="14" w:hanging="720"/>
        <w:rPr>
          <w:b/>
        </w:rPr>
      </w:pPr>
      <w:r>
        <w:rPr>
          <w:b/>
        </w:rPr>
        <w:br w:type="page"/>
      </w:r>
    </w:p>
    <w:p w:rsidR="00D076F0" w:rsidRDefault="002749EF">
      <w:pPr>
        <w:tabs>
          <w:tab w:val="left" w:pos="864"/>
          <w:tab w:val="left" w:pos="2160"/>
          <w:tab w:val="left" w:pos="8280"/>
        </w:tabs>
        <w:ind w:left="540" w:right="14"/>
        <w:jc w:val="center"/>
      </w:pPr>
      <w:r>
        <w:t>-10-</w:t>
      </w:r>
    </w:p>
    <w:p w:rsidR="00D076F0" w:rsidRDefault="00D076F0">
      <w:pPr>
        <w:tabs>
          <w:tab w:val="left" w:pos="864"/>
          <w:tab w:val="left" w:pos="2160"/>
          <w:tab w:val="left" w:pos="8280"/>
        </w:tabs>
        <w:ind w:left="540" w:right="14"/>
        <w:jc w:val="center"/>
      </w:pPr>
    </w:p>
    <w:p w:rsidR="00D076F0" w:rsidRDefault="002749EF">
      <w:pPr>
        <w:tabs>
          <w:tab w:val="left" w:pos="864"/>
          <w:tab w:val="left" w:pos="2160"/>
          <w:tab w:val="left" w:pos="8280"/>
        </w:tabs>
        <w:ind w:left="540" w:right="14"/>
        <w:jc w:val="center"/>
        <w:rPr>
          <w:u w:val="single"/>
        </w:rPr>
      </w:pPr>
      <w:r>
        <w:t>(CONVENIENCE TRANSLATION OF A REPORT AND FINANCIAL STATEMENTS ORIGINALLY ISSUED IN TURKISH –</w:t>
      </w:r>
      <w:r>
        <w:t xml:space="preserve"> SEE NOTE 9)</w:t>
      </w:r>
    </w:p>
    <w:p w:rsidR="00D076F0" w:rsidRDefault="00D076F0">
      <w:pPr>
        <w:tabs>
          <w:tab w:val="left" w:pos="1584"/>
        </w:tabs>
        <w:ind w:left="720" w:right="14" w:hanging="720"/>
        <w:rPr>
          <w:b/>
        </w:rPr>
      </w:pPr>
    </w:p>
    <w:p w:rsidR="00D076F0" w:rsidRDefault="00D076F0">
      <w:pPr>
        <w:tabs>
          <w:tab w:val="left" w:pos="1584"/>
        </w:tabs>
        <w:ind w:left="720" w:right="14" w:hanging="720"/>
        <w:rPr>
          <w:b/>
        </w:rPr>
      </w:pPr>
    </w:p>
    <w:p w:rsidR="00D076F0" w:rsidRDefault="002749EF">
      <w:pPr>
        <w:tabs>
          <w:tab w:val="left" w:pos="1584"/>
        </w:tabs>
        <w:ind w:left="720" w:right="14" w:hanging="720"/>
        <w:rPr>
          <w:b/>
        </w:rPr>
      </w:pPr>
      <w:r>
        <w:rPr>
          <w:b/>
        </w:rPr>
        <w:t>(10)  INDIVIDUAL ACCOUNTS OF CONSOLIDATED SUBSIDIARIES WHICH HAVE BEEN ACCOUNTED FOR USING DIFFERENT ACCOUNTING PRINCIPLES THAN THE ACCOUNTING PRINCIPLES TAKEN AS A BASIS FOR CONSOLIDATED FINANCIAL STATEMENTS THAT HAVE NOT BEEN CORRECTED IN</w:t>
      </w:r>
    </w:p>
    <w:p w:rsidR="00D076F0" w:rsidRDefault="002749EF">
      <w:pPr>
        <w:tabs>
          <w:tab w:val="left" w:pos="1584"/>
        </w:tabs>
        <w:ind w:left="720" w:right="14" w:hanging="720"/>
        <w:rPr>
          <w:b/>
          <w:u w:val="single"/>
        </w:rPr>
      </w:pPr>
      <w:r>
        <w:rPr>
          <w:b/>
          <w:u w:val="single"/>
        </w:rPr>
        <w:t xml:space="preserve">            CONSOLIDATION                                                                                                  :</w:t>
      </w:r>
    </w:p>
    <w:p w:rsidR="00D076F0" w:rsidRDefault="00D076F0">
      <w:pPr>
        <w:tabs>
          <w:tab w:val="left" w:pos="1584"/>
        </w:tabs>
        <w:ind w:left="1080" w:right="14" w:hanging="1080"/>
      </w:pPr>
    </w:p>
    <w:p w:rsidR="00D076F0" w:rsidRDefault="002749EF">
      <w:pPr>
        <w:tabs>
          <w:tab w:val="left" w:pos="1584"/>
        </w:tabs>
        <w:ind w:right="14"/>
      </w:pPr>
      <w:r>
        <w:t>None.</w:t>
      </w:r>
    </w:p>
    <w:p w:rsidR="00D076F0" w:rsidRDefault="00D076F0">
      <w:pPr>
        <w:tabs>
          <w:tab w:val="left" w:pos="1584"/>
        </w:tabs>
        <w:ind w:right="14"/>
      </w:pPr>
    </w:p>
    <w:p w:rsidR="00D076F0" w:rsidRDefault="00D076F0">
      <w:pPr>
        <w:tabs>
          <w:tab w:val="left" w:pos="1584"/>
        </w:tabs>
        <w:ind w:right="14"/>
      </w:pPr>
    </w:p>
    <w:p w:rsidR="00D076F0" w:rsidRDefault="002749EF">
      <w:pPr>
        <w:tabs>
          <w:tab w:val="left" w:pos="1584"/>
        </w:tabs>
        <w:ind w:right="14"/>
        <w:rPr>
          <w:b/>
        </w:rPr>
      </w:pPr>
      <w:r>
        <w:rPr>
          <w:b/>
        </w:rPr>
        <w:t>(11)  DIFFERENT ACCOUNTING POLICIES APPLIED IN THE PREPARATION OF</w:t>
      </w:r>
    </w:p>
    <w:p w:rsidR="00D076F0" w:rsidRDefault="002749EF">
      <w:pPr>
        <w:tabs>
          <w:tab w:val="left" w:pos="1584"/>
        </w:tabs>
        <w:ind w:right="14"/>
        <w:rPr>
          <w:b/>
          <w:u w:val="single"/>
        </w:rPr>
      </w:pPr>
      <w:r>
        <w:rPr>
          <w:b/>
          <w:u w:val="single"/>
        </w:rPr>
        <w:t xml:space="preserve">            CONSOLIDATED FINANCIAL STATEMENTS BETWEEN PE</w:t>
      </w:r>
      <w:r>
        <w:rPr>
          <w:b/>
          <w:u w:val="single"/>
        </w:rPr>
        <w:t>RIODS          :</w:t>
      </w:r>
    </w:p>
    <w:p w:rsidR="00D076F0" w:rsidRDefault="00D076F0">
      <w:pPr>
        <w:tabs>
          <w:tab w:val="left" w:pos="1584"/>
        </w:tabs>
        <w:ind w:right="14"/>
      </w:pPr>
    </w:p>
    <w:p w:rsidR="00D076F0" w:rsidRDefault="002749EF">
      <w:pPr>
        <w:ind w:right="14"/>
        <w:jc w:val="both"/>
      </w:pPr>
      <w:r>
        <w:t>The accounting principles taken as a basis for preparation of the June 30, 2002 consolidated financial statements are based on “Accounting Standards for Banks” as defined per Article 13 of the Banking Law 4389 and the communiqué of “Speci</w:t>
      </w:r>
      <w:r>
        <w:t>al Independent Audit Basics and Procedures by the Banking Law 4389 temporary article 4th”.</w:t>
      </w:r>
    </w:p>
    <w:p w:rsidR="00D076F0" w:rsidRDefault="00D076F0">
      <w:pPr>
        <w:tabs>
          <w:tab w:val="left" w:pos="864"/>
          <w:tab w:val="left" w:pos="1584"/>
          <w:tab w:val="left" w:pos="7056"/>
          <w:tab w:val="left" w:pos="8496"/>
        </w:tabs>
        <w:ind w:right="14"/>
        <w:jc w:val="both"/>
      </w:pPr>
    </w:p>
    <w:p w:rsidR="00D076F0" w:rsidRDefault="00D076F0">
      <w:pPr>
        <w:tabs>
          <w:tab w:val="left" w:pos="864"/>
          <w:tab w:val="left" w:pos="1584"/>
          <w:tab w:val="left" w:pos="7056"/>
          <w:tab w:val="left" w:pos="8496"/>
        </w:tabs>
        <w:ind w:right="14"/>
      </w:pPr>
    </w:p>
    <w:p w:rsidR="00D076F0" w:rsidRDefault="00D076F0">
      <w:pPr>
        <w:tabs>
          <w:tab w:val="left" w:pos="864"/>
          <w:tab w:val="left" w:pos="1584"/>
          <w:tab w:val="left" w:pos="7056"/>
          <w:tab w:val="left" w:pos="8496"/>
        </w:tabs>
        <w:ind w:right="14"/>
      </w:pPr>
    </w:p>
    <w:p w:rsidR="00D076F0" w:rsidRDefault="002749EF">
      <w:pPr>
        <w:tabs>
          <w:tab w:val="left" w:pos="864"/>
          <w:tab w:val="left" w:pos="1584"/>
          <w:tab w:val="left" w:pos="7056"/>
          <w:tab w:val="left" w:pos="8496"/>
        </w:tabs>
        <w:ind w:right="14"/>
        <w:rPr>
          <w:b/>
        </w:rPr>
      </w:pPr>
      <w:r>
        <w:rPr>
          <w:b/>
        </w:rPr>
        <w:t>(12)  ASSUMPTIONS AND FORECASTS USED IN THE PREPARATION OF THE</w:t>
      </w:r>
    </w:p>
    <w:p w:rsidR="00D076F0" w:rsidRDefault="002749EF">
      <w:pPr>
        <w:tabs>
          <w:tab w:val="left" w:pos="864"/>
          <w:tab w:val="left" w:pos="1584"/>
          <w:tab w:val="left" w:pos="7056"/>
          <w:tab w:val="left" w:pos="8496"/>
        </w:tabs>
        <w:ind w:right="14"/>
        <w:rPr>
          <w:b/>
        </w:rPr>
      </w:pPr>
      <w:r>
        <w:rPr>
          <w:b/>
        </w:rPr>
        <w:t xml:space="preserve">             CONSOLIDATED FINANCIAL STATEMENTS DUE TO DIFFERENT </w:t>
      </w:r>
    </w:p>
    <w:p w:rsidR="00D076F0" w:rsidRDefault="002749EF">
      <w:pPr>
        <w:tabs>
          <w:tab w:val="left" w:pos="864"/>
          <w:tab w:val="left" w:pos="1584"/>
          <w:tab w:val="left" w:pos="7056"/>
          <w:tab w:val="left" w:pos="8496"/>
        </w:tabs>
        <w:ind w:right="14"/>
        <w:rPr>
          <w:b/>
          <w:u w:val="single"/>
        </w:rPr>
      </w:pPr>
      <w:r>
        <w:rPr>
          <w:b/>
          <w:u w:val="single"/>
        </w:rPr>
        <w:t xml:space="preserve">             ACCOUNTING POLICIES A</w:t>
      </w:r>
      <w:r>
        <w:rPr>
          <w:b/>
          <w:u w:val="single"/>
        </w:rPr>
        <w:t>PPLIED                                                           :</w:t>
      </w:r>
    </w:p>
    <w:p w:rsidR="00D076F0" w:rsidRDefault="00D076F0">
      <w:pPr>
        <w:tabs>
          <w:tab w:val="left" w:pos="864"/>
          <w:tab w:val="left" w:pos="1584"/>
          <w:tab w:val="left" w:pos="7056"/>
          <w:tab w:val="left" w:pos="8496"/>
        </w:tabs>
        <w:ind w:right="14"/>
      </w:pPr>
    </w:p>
    <w:p w:rsidR="00D076F0" w:rsidRDefault="002749EF">
      <w:pPr>
        <w:tabs>
          <w:tab w:val="left" w:pos="864"/>
          <w:tab w:val="left" w:pos="1584"/>
          <w:tab w:val="left" w:pos="7056"/>
          <w:tab w:val="left" w:pos="8496"/>
        </w:tabs>
        <w:ind w:right="14"/>
      </w:pPr>
      <w:r>
        <w:t>None.</w:t>
      </w:r>
    </w:p>
    <w:p w:rsidR="00D076F0" w:rsidRDefault="00D076F0">
      <w:pPr>
        <w:tabs>
          <w:tab w:val="left" w:pos="864"/>
          <w:tab w:val="left" w:pos="1584"/>
          <w:tab w:val="left" w:pos="7056"/>
          <w:tab w:val="left" w:pos="8496"/>
        </w:tabs>
        <w:ind w:right="14"/>
      </w:pPr>
    </w:p>
    <w:p w:rsidR="00D076F0" w:rsidRDefault="00D076F0">
      <w:pPr>
        <w:tabs>
          <w:tab w:val="left" w:pos="864"/>
          <w:tab w:val="left" w:pos="1584"/>
          <w:tab w:val="left" w:pos="7056"/>
          <w:tab w:val="left" w:pos="8496"/>
        </w:tabs>
        <w:ind w:right="14"/>
      </w:pPr>
    </w:p>
    <w:p w:rsidR="00D076F0" w:rsidRDefault="002749EF">
      <w:pPr>
        <w:pStyle w:val="BodyText2"/>
        <w:tabs>
          <w:tab w:val="left" w:pos="864"/>
          <w:tab w:val="left" w:pos="7056"/>
          <w:tab w:val="left" w:pos="8496"/>
        </w:tabs>
        <w:ind w:left="540" w:hanging="540"/>
        <w:jc w:val="left"/>
        <w:rPr>
          <w:b/>
        </w:rPr>
      </w:pPr>
      <w:r>
        <w:rPr>
          <w:b/>
        </w:rPr>
        <w:t xml:space="preserve">(13)  DATE OF FINANCIAL STATEMENTS FOR THE PARENT AND THE </w:t>
      </w:r>
    </w:p>
    <w:p w:rsidR="00D076F0" w:rsidRDefault="002749EF">
      <w:pPr>
        <w:pStyle w:val="BodyText2"/>
        <w:tabs>
          <w:tab w:val="left" w:pos="864"/>
          <w:tab w:val="left" w:pos="7056"/>
          <w:tab w:val="left" w:pos="8496"/>
        </w:tabs>
        <w:ind w:left="540" w:hanging="540"/>
        <w:jc w:val="left"/>
        <w:rPr>
          <w:b/>
          <w:u w:val="single"/>
        </w:rPr>
      </w:pPr>
      <w:r>
        <w:rPr>
          <w:b/>
          <w:u w:val="single"/>
        </w:rPr>
        <w:t xml:space="preserve">             CONSOLIDATED SUBSIDIARIES                                                  :</w:t>
      </w:r>
    </w:p>
    <w:p w:rsidR="00D076F0" w:rsidRDefault="00D076F0">
      <w:pPr>
        <w:pStyle w:val="BodyText2"/>
        <w:tabs>
          <w:tab w:val="left" w:pos="864"/>
          <w:tab w:val="left" w:pos="7056"/>
          <w:tab w:val="left" w:pos="8496"/>
        </w:tabs>
        <w:jc w:val="left"/>
      </w:pPr>
    </w:p>
    <w:p w:rsidR="00D076F0" w:rsidRDefault="002749EF">
      <w:pPr>
        <w:pStyle w:val="BodyText2"/>
        <w:tabs>
          <w:tab w:val="left" w:pos="864"/>
          <w:tab w:val="left" w:pos="7056"/>
          <w:tab w:val="left" w:pos="8496"/>
        </w:tabs>
      </w:pPr>
      <w:r>
        <w:t>The financial statements of th</w:t>
      </w:r>
      <w:r>
        <w:t>e Parent and all of the consolidated financial institutions have been prepared as of June 30, 2002.</w:t>
      </w:r>
    </w:p>
    <w:p w:rsidR="00D076F0" w:rsidRDefault="00D076F0">
      <w:pPr>
        <w:pStyle w:val="BodyText2"/>
        <w:tabs>
          <w:tab w:val="left" w:pos="864"/>
          <w:tab w:val="left" w:pos="7056"/>
          <w:tab w:val="left" w:pos="8496"/>
        </w:tabs>
        <w:jc w:val="left"/>
      </w:pPr>
    </w:p>
    <w:p w:rsidR="00D076F0" w:rsidRDefault="00D076F0">
      <w:pPr>
        <w:tabs>
          <w:tab w:val="left" w:pos="864"/>
          <w:tab w:val="left" w:pos="1584"/>
          <w:tab w:val="left" w:pos="7056"/>
          <w:tab w:val="left" w:pos="8496"/>
        </w:tabs>
        <w:ind w:right="14"/>
      </w:pPr>
    </w:p>
    <w:p w:rsidR="00D076F0" w:rsidRDefault="002749EF">
      <w:pPr>
        <w:pStyle w:val="BodyText2"/>
        <w:tabs>
          <w:tab w:val="left" w:pos="864"/>
          <w:tab w:val="left" w:pos="7056"/>
          <w:tab w:val="left" w:pos="8496"/>
        </w:tabs>
        <w:jc w:val="left"/>
        <w:rPr>
          <w:b/>
          <w:u w:val="single"/>
        </w:rPr>
      </w:pPr>
      <w:r>
        <w:rPr>
          <w:b/>
        </w:rPr>
        <w:t>(14)  UNELIMINATED GAIN OR LOSS BETWEEN THE CONSOLIDATED COMPANIES</w:t>
      </w:r>
    </w:p>
    <w:p w:rsidR="00D076F0" w:rsidRDefault="002749EF">
      <w:pPr>
        <w:pStyle w:val="BodyText2"/>
        <w:tabs>
          <w:tab w:val="left" w:pos="864"/>
          <w:tab w:val="left" w:pos="7056"/>
          <w:tab w:val="left" w:pos="8496"/>
        </w:tabs>
        <w:jc w:val="left"/>
        <w:rPr>
          <w:b/>
          <w:u w:val="single"/>
        </w:rPr>
      </w:pPr>
      <w:r>
        <w:rPr>
          <w:b/>
          <w:u w:val="single"/>
        </w:rPr>
        <w:t xml:space="preserve">             THAT HAVE GENERATED FROM INTERCOMPANY TRANSACTIONS:</w:t>
      </w:r>
    </w:p>
    <w:p w:rsidR="00D076F0" w:rsidRDefault="00D076F0">
      <w:pPr>
        <w:pStyle w:val="BodyText2"/>
        <w:tabs>
          <w:tab w:val="left" w:pos="864"/>
          <w:tab w:val="left" w:pos="7056"/>
          <w:tab w:val="left" w:pos="8496"/>
        </w:tabs>
        <w:jc w:val="left"/>
      </w:pPr>
    </w:p>
    <w:p w:rsidR="00D076F0" w:rsidRDefault="002749EF">
      <w:pPr>
        <w:tabs>
          <w:tab w:val="left" w:pos="864"/>
          <w:tab w:val="left" w:pos="1584"/>
          <w:tab w:val="left" w:pos="7056"/>
          <w:tab w:val="left" w:pos="8496"/>
        </w:tabs>
        <w:ind w:right="14"/>
      </w:pPr>
      <w:r>
        <w:t>None.</w:t>
      </w:r>
    </w:p>
    <w:p w:rsidR="00D076F0" w:rsidRDefault="00D076F0">
      <w:pPr>
        <w:tabs>
          <w:tab w:val="left" w:pos="864"/>
          <w:tab w:val="left" w:pos="1584"/>
          <w:tab w:val="left" w:pos="7056"/>
          <w:tab w:val="left" w:pos="8496"/>
        </w:tabs>
        <w:ind w:right="14"/>
      </w:pPr>
    </w:p>
    <w:p w:rsidR="00D076F0" w:rsidRDefault="002749EF">
      <w:pPr>
        <w:pStyle w:val="BodyText2"/>
        <w:jc w:val="center"/>
      </w:pPr>
      <w:r>
        <w:br w:type="page"/>
      </w:r>
    </w:p>
    <w:p w:rsidR="00D076F0" w:rsidRDefault="00D076F0">
      <w:pPr>
        <w:pStyle w:val="BodyText2"/>
        <w:jc w:val="center"/>
      </w:pPr>
    </w:p>
    <w:p w:rsidR="00D076F0" w:rsidRDefault="002749EF">
      <w:pPr>
        <w:pStyle w:val="BodyText2"/>
        <w:jc w:val="center"/>
      </w:pPr>
      <w:r>
        <w:t>-11-</w:t>
      </w:r>
    </w:p>
    <w:p w:rsidR="00D076F0" w:rsidRDefault="00D076F0">
      <w:pPr>
        <w:tabs>
          <w:tab w:val="left" w:pos="576"/>
          <w:tab w:val="left" w:pos="864"/>
          <w:tab w:val="left" w:pos="1584"/>
          <w:tab w:val="left" w:pos="2016"/>
          <w:tab w:val="left" w:pos="4032"/>
        </w:tabs>
        <w:ind w:right="14"/>
        <w:jc w:val="center"/>
      </w:pPr>
    </w:p>
    <w:p w:rsidR="00D076F0" w:rsidRDefault="00D076F0">
      <w:pPr>
        <w:tabs>
          <w:tab w:val="left" w:pos="576"/>
          <w:tab w:val="left" w:pos="864"/>
          <w:tab w:val="left" w:pos="1584"/>
          <w:tab w:val="left" w:pos="2016"/>
          <w:tab w:val="left" w:pos="4032"/>
        </w:tabs>
        <w:ind w:right="14"/>
        <w:jc w:val="center"/>
      </w:pPr>
    </w:p>
    <w:p w:rsidR="00D076F0" w:rsidRDefault="002749EF">
      <w:pPr>
        <w:tabs>
          <w:tab w:val="left" w:pos="576"/>
          <w:tab w:val="left" w:pos="864"/>
          <w:tab w:val="left" w:pos="1584"/>
          <w:tab w:val="left" w:pos="2016"/>
          <w:tab w:val="left" w:pos="4032"/>
        </w:tabs>
        <w:ind w:right="14"/>
        <w:jc w:val="center"/>
      </w:pPr>
      <w:r>
        <w:t xml:space="preserve"> (CO</w:t>
      </w:r>
      <w:r>
        <w:t>NVENIENCE TRANSLATION OF A REPORT AND FINANCIAL STATEMENTS ORIGINALLY ISSUED IN TURKISH – SEE NOTE 9)</w:t>
      </w:r>
    </w:p>
    <w:p w:rsidR="00D076F0" w:rsidRDefault="00D076F0">
      <w:pPr>
        <w:tabs>
          <w:tab w:val="left" w:pos="864"/>
          <w:tab w:val="left" w:pos="1584"/>
          <w:tab w:val="left" w:pos="7056"/>
          <w:tab w:val="left" w:pos="8496"/>
        </w:tabs>
        <w:ind w:right="14"/>
      </w:pPr>
    </w:p>
    <w:p w:rsidR="00D076F0" w:rsidRDefault="00D076F0">
      <w:pPr>
        <w:tabs>
          <w:tab w:val="left" w:pos="864"/>
          <w:tab w:val="left" w:pos="1584"/>
          <w:tab w:val="left" w:pos="7056"/>
          <w:tab w:val="left" w:pos="8496"/>
        </w:tabs>
        <w:ind w:right="14"/>
      </w:pPr>
    </w:p>
    <w:p w:rsidR="00D076F0" w:rsidRDefault="00D076F0">
      <w:pPr>
        <w:tabs>
          <w:tab w:val="left" w:pos="864"/>
          <w:tab w:val="left" w:pos="1584"/>
          <w:tab w:val="left" w:pos="7056"/>
          <w:tab w:val="left" w:pos="8496"/>
        </w:tabs>
        <w:ind w:right="14"/>
      </w:pPr>
    </w:p>
    <w:p w:rsidR="00D076F0" w:rsidRDefault="002749EF">
      <w:pPr>
        <w:tabs>
          <w:tab w:val="left" w:pos="864"/>
          <w:tab w:val="left" w:pos="1584"/>
          <w:tab w:val="left" w:pos="7056"/>
          <w:tab w:val="left" w:pos="8496"/>
        </w:tabs>
        <w:ind w:right="14"/>
        <w:rPr>
          <w:b/>
        </w:rPr>
      </w:pPr>
      <w:r>
        <w:rPr>
          <w:b/>
        </w:rPr>
        <w:t xml:space="preserve">(15)  DIFFERENCE BETWEEN THE COST AND THE SHARE IN THE EQUITY </w:t>
      </w:r>
    </w:p>
    <w:p w:rsidR="00D076F0" w:rsidRDefault="002749EF">
      <w:pPr>
        <w:tabs>
          <w:tab w:val="left" w:pos="864"/>
          <w:tab w:val="left" w:pos="1584"/>
          <w:tab w:val="left" w:pos="7056"/>
          <w:tab w:val="left" w:pos="8496"/>
        </w:tabs>
        <w:ind w:right="14"/>
        <w:rPr>
          <w:b/>
          <w:u w:val="single"/>
        </w:rPr>
      </w:pPr>
      <w:r>
        <w:rPr>
          <w:b/>
          <w:u w:val="single"/>
        </w:rPr>
        <w:t xml:space="preserve">             OF NON-CONSOLIDATED SUBSIDIARIES                                          :</w:t>
      </w:r>
    </w:p>
    <w:p w:rsidR="00D076F0" w:rsidRDefault="00D076F0">
      <w:pPr>
        <w:tabs>
          <w:tab w:val="left" w:pos="864"/>
          <w:tab w:val="left" w:pos="1584"/>
          <w:tab w:val="left" w:pos="7056"/>
          <w:tab w:val="left" w:pos="8496"/>
        </w:tabs>
        <w:ind w:right="14"/>
        <w:jc w:val="both"/>
      </w:pPr>
    </w:p>
    <w:p w:rsidR="00D076F0" w:rsidRDefault="002749EF">
      <w:pPr>
        <w:tabs>
          <w:tab w:val="left" w:pos="864"/>
          <w:tab w:val="left" w:pos="1584"/>
          <w:tab w:val="left" w:pos="7056"/>
          <w:tab w:val="left" w:pos="8496"/>
        </w:tabs>
        <w:ind w:right="14"/>
        <w:jc w:val="both"/>
      </w:pPr>
      <w:r>
        <w:t>Difference between the cost and the share in the equity of non-consolidated subsidiaries are as follows:</w:t>
      </w:r>
    </w:p>
    <w:p w:rsidR="00D076F0" w:rsidRDefault="00D076F0">
      <w:pPr>
        <w:tabs>
          <w:tab w:val="left" w:pos="1584"/>
        </w:tabs>
        <w:ind w:right="14"/>
        <w:jc w:val="both"/>
      </w:pPr>
    </w:p>
    <w:tbl>
      <w:tblPr>
        <w:tblW w:w="0" w:type="auto"/>
        <w:tblLayout w:type="fixed"/>
        <w:tblCellMar>
          <w:left w:w="30" w:type="dxa"/>
          <w:right w:w="30" w:type="dxa"/>
        </w:tblCellMar>
        <w:tblLook w:val="0000" w:firstRow="0" w:lastRow="0" w:firstColumn="0" w:lastColumn="0" w:noHBand="0" w:noVBand="0"/>
      </w:tblPr>
      <w:tblGrid>
        <w:gridCol w:w="3000"/>
        <w:gridCol w:w="1440"/>
        <w:gridCol w:w="90"/>
        <w:gridCol w:w="1170"/>
        <w:gridCol w:w="90"/>
        <w:gridCol w:w="1260"/>
        <w:gridCol w:w="90"/>
        <w:gridCol w:w="1260"/>
        <w:gridCol w:w="90"/>
        <w:gridCol w:w="1170"/>
      </w:tblGrid>
      <w:tr w:rsidR="00D076F0">
        <w:trPr>
          <w:trHeight w:val="868"/>
        </w:trPr>
        <w:tc>
          <w:tcPr>
            <w:tcW w:w="3000" w:type="dxa"/>
          </w:tcPr>
          <w:p w:rsidR="00D076F0" w:rsidRDefault="00D076F0">
            <w:pPr>
              <w:jc w:val="center"/>
              <w:rPr>
                <w:snapToGrid w:val="0"/>
                <w:color w:val="000000"/>
                <w:sz w:val="20"/>
              </w:rPr>
            </w:pPr>
          </w:p>
        </w:tc>
        <w:tc>
          <w:tcPr>
            <w:tcW w:w="1440" w:type="dxa"/>
            <w:tcBorders>
              <w:bottom w:val="single" w:sz="6" w:space="0" w:color="auto"/>
            </w:tcBorders>
          </w:tcPr>
          <w:p w:rsidR="00D076F0" w:rsidRDefault="002749EF">
            <w:pPr>
              <w:jc w:val="center"/>
              <w:rPr>
                <w:snapToGrid w:val="0"/>
                <w:color w:val="000000"/>
                <w:sz w:val="20"/>
              </w:rPr>
            </w:pPr>
            <w:r>
              <w:rPr>
                <w:snapToGrid w:val="0"/>
                <w:color w:val="000000"/>
                <w:sz w:val="20"/>
              </w:rPr>
              <w:t>Total</w:t>
            </w:r>
          </w:p>
          <w:p w:rsidR="00D076F0" w:rsidRDefault="002749EF">
            <w:pPr>
              <w:jc w:val="center"/>
              <w:rPr>
                <w:snapToGrid w:val="0"/>
                <w:color w:val="000000"/>
                <w:sz w:val="20"/>
              </w:rPr>
            </w:pPr>
            <w:r>
              <w:rPr>
                <w:snapToGrid w:val="0"/>
                <w:color w:val="000000"/>
                <w:sz w:val="20"/>
              </w:rPr>
              <w:t>Shareholders’</w:t>
            </w:r>
          </w:p>
          <w:p w:rsidR="00D076F0" w:rsidRDefault="002749EF">
            <w:pPr>
              <w:jc w:val="center"/>
              <w:rPr>
                <w:snapToGrid w:val="0"/>
                <w:color w:val="000000"/>
                <w:sz w:val="20"/>
              </w:rPr>
            </w:pPr>
            <w:r>
              <w:rPr>
                <w:snapToGrid w:val="0"/>
                <w:color w:val="000000"/>
                <w:sz w:val="20"/>
              </w:rPr>
              <w:t>Equity</w:t>
            </w:r>
          </w:p>
          <w:p w:rsidR="00D076F0" w:rsidRDefault="002749EF">
            <w:pPr>
              <w:jc w:val="center"/>
              <w:rPr>
                <w:snapToGrid w:val="0"/>
                <w:color w:val="000000"/>
                <w:sz w:val="20"/>
              </w:rPr>
            </w:pPr>
            <w:r>
              <w:rPr>
                <w:snapToGrid w:val="0"/>
                <w:color w:val="000000"/>
                <w:sz w:val="20"/>
              </w:rPr>
              <w:t>(Billion TL) (*)</w:t>
            </w:r>
          </w:p>
        </w:tc>
        <w:tc>
          <w:tcPr>
            <w:tcW w:w="90" w:type="dxa"/>
          </w:tcPr>
          <w:p w:rsidR="00D076F0" w:rsidRDefault="00D076F0">
            <w:pPr>
              <w:jc w:val="center"/>
              <w:rPr>
                <w:snapToGrid w:val="0"/>
                <w:color w:val="000000"/>
                <w:sz w:val="20"/>
              </w:rPr>
            </w:pPr>
          </w:p>
        </w:tc>
        <w:tc>
          <w:tcPr>
            <w:tcW w:w="1170" w:type="dxa"/>
            <w:tcBorders>
              <w:bottom w:val="single" w:sz="6" w:space="0" w:color="auto"/>
            </w:tcBorders>
          </w:tcPr>
          <w:p w:rsidR="00D076F0" w:rsidRDefault="00D076F0">
            <w:pPr>
              <w:jc w:val="center"/>
              <w:rPr>
                <w:snapToGrid w:val="0"/>
                <w:color w:val="000000"/>
                <w:sz w:val="20"/>
              </w:rPr>
            </w:pPr>
          </w:p>
          <w:p w:rsidR="00D076F0" w:rsidRDefault="002749EF">
            <w:pPr>
              <w:jc w:val="center"/>
              <w:rPr>
                <w:snapToGrid w:val="0"/>
                <w:color w:val="000000"/>
                <w:sz w:val="20"/>
              </w:rPr>
            </w:pPr>
            <w:r>
              <w:rPr>
                <w:snapToGrid w:val="0"/>
                <w:color w:val="000000"/>
                <w:sz w:val="20"/>
              </w:rPr>
              <w:t>Ownership</w:t>
            </w:r>
          </w:p>
          <w:p w:rsidR="00D076F0" w:rsidRDefault="002749EF">
            <w:pPr>
              <w:jc w:val="center"/>
              <w:rPr>
                <w:snapToGrid w:val="0"/>
                <w:color w:val="000000"/>
                <w:sz w:val="20"/>
              </w:rPr>
            </w:pPr>
            <w:r>
              <w:rPr>
                <w:snapToGrid w:val="0"/>
                <w:color w:val="000000"/>
                <w:sz w:val="20"/>
              </w:rPr>
              <w:t>Share</w:t>
            </w:r>
          </w:p>
          <w:p w:rsidR="00D076F0" w:rsidRDefault="002749EF">
            <w:pPr>
              <w:jc w:val="center"/>
              <w:rPr>
                <w:snapToGrid w:val="0"/>
                <w:color w:val="000000"/>
                <w:sz w:val="20"/>
              </w:rPr>
            </w:pPr>
            <w:r>
              <w:rPr>
                <w:snapToGrid w:val="0"/>
                <w:color w:val="000000"/>
                <w:sz w:val="20"/>
              </w:rPr>
              <w:t>(%) (*)</w:t>
            </w:r>
          </w:p>
        </w:tc>
        <w:tc>
          <w:tcPr>
            <w:tcW w:w="90" w:type="dxa"/>
          </w:tcPr>
          <w:p w:rsidR="00D076F0" w:rsidRDefault="00D076F0">
            <w:pPr>
              <w:jc w:val="center"/>
              <w:rPr>
                <w:snapToGrid w:val="0"/>
                <w:color w:val="000000"/>
                <w:sz w:val="20"/>
              </w:rPr>
            </w:pPr>
          </w:p>
        </w:tc>
        <w:tc>
          <w:tcPr>
            <w:tcW w:w="1260" w:type="dxa"/>
            <w:tcBorders>
              <w:bottom w:val="single" w:sz="6" w:space="0" w:color="auto"/>
            </w:tcBorders>
          </w:tcPr>
          <w:p w:rsidR="00D076F0" w:rsidRDefault="002749EF">
            <w:pPr>
              <w:jc w:val="center"/>
              <w:rPr>
                <w:snapToGrid w:val="0"/>
                <w:color w:val="000000"/>
                <w:sz w:val="20"/>
              </w:rPr>
            </w:pPr>
            <w:r>
              <w:rPr>
                <w:snapToGrid w:val="0"/>
                <w:color w:val="000000"/>
                <w:sz w:val="20"/>
              </w:rPr>
              <w:t xml:space="preserve">Share of </w:t>
            </w:r>
          </w:p>
          <w:p w:rsidR="00D076F0" w:rsidRDefault="002749EF">
            <w:pPr>
              <w:jc w:val="center"/>
              <w:rPr>
                <w:snapToGrid w:val="0"/>
                <w:color w:val="000000"/>
                <w:sz w:val="20"/>
              </w:rPr>
            </w:pPr>
            <w:r>
              <w:rPr>
                <w:snapToGrid w:val="0"/>
                <w:color w:val="000000"/>
                <w:sz w:val="20"/>
              </w:rPr>
              <w:t xml:space="preserve">the </w:t>
            </w:r>
          </w:p>
          <w:p w:rsidR="00D076F0" w:rsidRDefault="002749EF">
            <w:pPr>
              <w:jc w:val="center"/>
              <w:rPr>
                <w:snapToGrid w:val="0"/>
                <w:color w:val="000000"/>
                <w:sz w:val="20"/>
              </w:rPr>
            </w:pPr>
            <w:r>
              <w:rPr>
                <w:snapToGrid w:val="0"/>
                <w:color w:val="000000"/>
                <w:sz w:val="20"/>
              </w:rPr>
              <w:t>Bank</w:t>
            </w:r>
          </w:p>
          <w:p w:rsidR="00D076F0" w:rsidRDefault="002749EF">
            <w:pPr>
              <w:jc w:val="center"/>
              <w:rPr>
                <w:snapToGrid w:val="0"/>
                <w:color w:val="000000"/>
                <w:sz w:val="20"/>
              </w:rPr>
            </w:pPr>
            <w:r>
              <w:rPr>
                <w:snapToGrid w:val="0"/>
                <w:color w:val="000000"/>
                <w:sz w:val="20"/>
              </w:rPr>
              <w:t>(Billion TL)(*)</w:t>
            </w:r>
          </w:p>
        </w:tc>
        <w:tc>
          <w:tcPr>
            <w:tcW w:w="90" w:type="dxa"/>
          </w:tcPr>
          <w:p w:rsidR="00D076F0" w:rsidRDefault="00D076F0">
            <w:pPr>
              <w:jc w:val="center"/>
              <w:rPr>
                <w:snapToGrid w:val="0"/>
                <w:color w:val="000000"/>
                <w:sz w:val="20"/>
              </w:rPr>
            </w:pPr>
          </w:p>
        </w:tc>
        <w:tc>
          <w:tcPr>
            <w:tcW w:w="1260" w:type="dxa"/>
            <w:tcBorders>
              <w:bottom w:val="single" w:sz="6" w:space="0" w:color="auto"/>
            </w:tcBorders>
          </w:tcPr>
          <w:p w:rsidR="00D076F0" w:rsidRDefault="00D076F0">
            <w:pPr>
              <w:jc w:val="center"/>
              <w:rPr>
                <w:snapToGrid w:val="0"/>
                <w:color w:val="000000"/>
                <w:sz w:val="20"/>
              </w:rPr>
            </w:pPr>
          </w:p>
          <w:p w:rsidR="00D076F0" w:rsidRDefault="002749EF">
            <w:pPr>
              <w:jc w:val="center"/>
              <w:rPr>
                <w:snapToGrid w:val="0"/>
                <w:color w:val="000000"/>
                <w:sz w:val="20"/>
              </w:rPr>
            </w:pPr>
            <w:r>
              <w:rPr>
                <w:snapToGrid w:val="0"/>
                <w:color w:val="000000"/>
                <w:sz w:val="20"/>
              </w:rPr>
              <w:t>Restated</w:t>
            </w:r>
          </w:p>
          <w:p w:rsidR="00D076F0" w:rsidRDefault="002749EF">
            <w:pPr>
              <w:jc w:val="center"/>
              <w:rPr>
                <w:snapToGrid w:val="0"/>
                <w:color w:val="000000"/>
                <w:sz w:val="20"/>
              </w:rPr>
            </w:pPr>
            <w:r>
              <w:rPr>
                <w:snapToGrid w:val="0"/>
                <w:color w:val="000000"/>
                <w:sz w:val="20"/>
              </w:rPr>
              <w:t>Cost</w:t>
            </w:r>
          </w:p>
          <w:p w:rsidR="00D076F0" w:rsidRDefault="002749EF">
            <w:pPr>
              <w:jc w:val="center"/>
              <w:rPr>
                <w:snapToGrid w:val="0"/>
                <w:color w:val="000000"/>
                <w:sz w:val="20"/>
              </w:rPr>
            </w:pPr>
            <w:r>
              <w:rPr>
                <w:snapToGrid w:val="0"/>
                <w:color w:val="000000"/>
                <w:sz w:val="20"/>
              </w:rPr>
              <w:t>(Billion TL)</w:t>
            </w:r>
          </w:p>
        </w:tc>
        <w:tc>
          <w:tcPr>
            <w:tcW w:w="90" w:type="dxa"/>
          </w:tcPr>
          <w:p w:rsidR="00D076F0" w:rsidRDefault="00D076F0">
            <w:pPr>
              <w:jc w:val="center"/>
              <w:rPr>
                <w:snapToGrid w:val="0"/>
                <w:color w:val="000000"/>
                <w:sz w:val="20"/>
              </w:rPr>
            </w:pPr>
          </w:p>
        </w:tc>
        <w:tc>
          <w:tcPr>
            <w:tcW w:w="1170" w:type="dxa"/>
            <w:tcBorders>
              <w:bottom w:val="single" w:sz="6" w:space="0" w:color="auto"/>
            </w:tcBorders>
          </w:tcPr>
          <w:p w:rsidR="00D076F0" w:rsidRDefault="00D076F0">
            <w:pPr>
              <w:jc w:val="center"/>
              <w:rPr>
                <w:snapToGrid w:val="0"/>
                <w:color w:val="000000"/>
                <w:sz w:val="20"/>
              </w:rPr>
            </w:pPr>
          </w:p>
          <w:p w:rsidR="00D076F0" w:rsidRDefault="00D076F0">
            <w:pPr>
              <w:jc w:val="center"/>
              <w:rPr>
                <w:snapToGrid w:val="0"/>
                <w:color w:val="000000"/>
                <w:sz w:val="20"/>
              </w:rPr>
            </w:pPr>
          </w:p>
          <w:p w:rsidR="00D076F0" w:rsidRDefault="002749EF">
            <w:pPr>
              <w:jc w:val="center"/>
              <w:rPr>
                <w:snapToGrid w:val="0"/>
                <w:color w:val="000000"/>
                <w:sz w:val="20"/>
              </w:rPr>
            </w:pPr>
            <w:r>
              <w:rPr>
                <w:snapToGrid w:val="0"/>
                <w:color w:val="000000"/>
                <w:sz w:val="20"/>
              </w:rPr>
              <w:t>Differen</w:t>
            </w:r>
            <w:r>
              <w:rPr>
                <w:snapToGrid w:val="0"/>
                <w:color w:val="000000"/>
                <w:sz w:val="20"/>
              </w:rPr>
              <w:t>ce</w:t>
            </w:r>
          </w:p>
          <w:p w:rsidR="00D076F0" w:rsidRDefault="002749EF">
            <w:pPr>
              <w:jc w:val="center"/>
              <w:rPr>
                <w:snapToGrid w:val="0"/>
                <w:color w:val="000000"/>
                <w:sz w:val="20"/>
              </w:rPr>
            </w:pPr>
            <w:r>
              <w:rPr>
                <w:snapToGrid w:val="0"/>
                <w:color w:val="000000"/>
                <w:sz w:val="20"/>
              </w:rPr>
              <w:t>(Billion TL)</w:t>
            </w:r>
          </w:p>
        </w:tc>
      </w:tr>
    </w:tbl>
    <w:p w:rsidR="00D076F0" w:rsidRDefault="00D076F0">
      <w:pPr>
        <w:pStyle w:val="EndnoteText"/>
      </w:pPr>
    </w:p>
    <w:tbl>
      <w:tblPr>
        <w:tblW w:w="0" w:type="auto"/>
        <w:tblLayout w:type="fixed"/>
        <w:tblCellMar>
          <w:left w:w="30" w:type="dxa"/>
          <w:right w:w="30" w:type="dxa"/>
        </w:tblCellMar>
        <w:tblLook w:val="0000" w:firstRow="0" w:lastRow="0" w:firstColumn="0" w:lastColumn="0" w:noHBand="0" w:noVBand="0"/>
      </w:tblPr>
      <w:tblGrid>
        <w:gridCol w:w="3000"/>
        <w:gridCol w:w="1350"/>
        <w:gridCol w:w="180"/>
        <w:gridCol w:w="1180"/>
        <w:gridCol w:w="90"/>
        <w:gridCol w:w="1250"/>
        <w:gridCol w:w="130"/>
        <w:gridCol w:w="1230"/>
        <w:gridCol w:w="80"/>
        <w:gridCol w:w="1188"/>
      </w:tblGrid>
      <w:tr w:rsidR="00D076F0">
        <w:tc>
          <w:tcPr>
            <w:tcW w:w="3000" w:type="dxa"/>
            <w:vAlign w:val="center"/>
          </w:tcPr>
          <w:p w:rsidR="00D076F0" w:rsidRDefault="002749EF">
            <w:pPr>
              <w:rPr>
                <w:b/>
                <w:snapToGrid w:val="0"/>
                <w:color w:val="000000"/>
                <w:u w:val="single"/>
              </w:rPr>
            </w:pPr>
            <w:r>
              <w:rPr>
                <w:b/>
                <w:snapToGrid w:val="0"/>
                <w:color w:val="000000"/>
                <w:u w:val="single"/>
              </w:rPr>
              <w:t>June 30, 2002:</w:t>
            </w:r>
          </w:p>
        </w:tc>
        <w:tc>
          <w:tcPr>
            <w:tcW w:w="1350" w:type="dxa"/>
            <w:vAlign w:val="center"/>
          </w:tcPr>
          <w:p w:rsidR="00D076F0" w:rsidRDefault="00D076F0">
            <w:pPr>
              <w:jc w:val="center"/>
              <w:rPr>
                <w:snapToGrid w:val="0"/>
                <w:color w:val="000000"/>
              </w:rPr>
            </w:pPr>
          </w:p>
        </w:tc>
        <w:tc>
          <w:tcPr>
            <w:tcW w:w="180" w:type="dxa"/>
            <w:vAlign w:val="center"/>
          </w:tcPr>
          <w:p w:rsidR="00D076F0" w:rsidRDefault="00D076F0">
            <w:pPr>
              <w:jc w:val="center"/>
              <w:rPr>
                <w:snapToGrid w:val="0"/>
                <w:color w:val="000000"/>
              </w:rPr>
            </w:pPr>
          </w:p>
        </w:tc>
        <w:tc>
          <w:tcPr>
            <w:tcW w:w="1180" w:type="dxa"/>
            <w:vAlign w:val="center"/>
          </w:tcPr>
          <w:p w:rsidR="00D076F0" w:rsidRDefault="00D076F0">
            <w:pPr>
              <w:jc w:val="center"/>
              <w:rPr>
                <w:snapToGrid w:val="0"/>
                <w:color w:val="000000"/>
              </w:rPr>
            </w:pPr>
          </w:p>
        </w:tc>
        <w:tc>
          <w:tcPr>
            <w:tcW w:w="90" w:type="dxa"/>
            <w:vAlign w:val="center"/>
          </w:tcPr>
          <w:p w:rsidR="00D076F0" w:rsidRDefault="00D076F0">
            <w:pPr>
              <w:jc w:val="center"/>
              <w:rPr>
                <w:snapToGrid w:val="0"/>
                <w:color w:val="000000"/>
              </w:rPr>
            </w:pPr>
          </w:p>
        </w:tc>
        <w:tc>
          <w:tcPr>
            <w:tcW w:w="1250" w:type="dxa"/>
            <w:vAlign w:val="center"/>
          </w:tcPr>
          <w:p w:rsidR="00D076F0" w:rsidRDefault="00D076F0">
            <w:pPr>
              <w:jc w:val="center"/>
              <w:rPr>
                <w:snapToGrid w:val="0"/>
                <w:color w:val="000000"/>
              </w:rPr>
            </w:pPr>
          </w:p>
        </w:tc>
        <w:tc>
          <w:tcPr>
            <w:tcW w:w="130" w:type="dxa"/>
            <w:vAlign w:val="center"/>
          </w:tcPr>
          <w:p w:rsidR="00D076F0" w:rsidRDefault="00D076F0">
            <w:pPr>
              <w:jc w:val="center"/>
              <w:rPr>
                <w:snapToGrid w:val="0"/>
                <w:color w:val="000000"/>
              </w:rPr>
            </w:pPr>
          </w:p>
        </w:tc>
        <w:tc>
          <w:tcPr>
            <w:tcW w:w="1230" w:type="dxa"/>
            <w:vAlign w:val="center"/>
          </w:tcPr>
          <w:p w:rsidR="00D076F0" w:rsidRDefault="00D076F0">
            <w:pPr>
              <w:jc w:val="center"/>
              <w:rPr>
                <w:snapToGrid w:val="0"/>
                <w:color w:val="000000"/>
              </w:rPr>
            </w:pPr>
          </w:p>
        </w:tc>
        <w:tc>
          <w:tcPr>
            <w:tcW w:w="80" w:type="dxa"/>
            <w:vAlign w:val="center"/>
          </w:tcPr>
          <w:p w:rsidR="00D076F0" w:rsidRDefault="00D076F0">
            <w:pPr>
              <w:jc w:val="center"/>
              <w:rPr>
                <w:snapToGrid w:val="0"/>
                <w:color w:val="000000"/>
              </w:rPr>
            </w:pPr>
          </w:p>
        </w:tc>
        <w:tc>
          <w:tcPr>
            <w:tcW w:w="1188" w:type="dxa"/>
            <w:vAlign w:val="center"/>
          </w:tcPr>
          <w:p w:rsidR="00D076F0" w:rsidRDefault="00D076F0">
            <w:pPr>
              <w:jc w:val="center"/>
              <w:rPr>
                <w:snapToGrid w:val="0"/>
                <w:color w:val="000000"/>
              </w:rPr>
            </w:pPr>
          </w:p>
        </w:tc>
      </w:tr>
      <w:tr w:rsidR="00D076F0">
        <w:tc>
          <w:tcPr>
            <w:tcW w:w="3000" w:type="dxa"/>
            <w:vAlign w:val="center"/>
          </w:tcPr>
          <w:p w:rsidR="00D076F0" w:rsidRDefault="002749EF">
            <w:pPr>
              <w:rPr>
                <w:snapToGrid w:val="0"/>
                <w:color w:val="000000"/>
              </w:rPr>
            </w:pPr>
            <w:r>
              <w:rPr>
                <w:snapToGrid w:val="0"/>
                <w:color w:val="000000"/>
              </w:rPr>
              <w:t>Varlık Yatırım Ortaklığı A.Ş.</w:t>
            </w:r>
          </w:p>
        </w:tc>
        <w:tc>
          <w:tcPr>
            <w:tcW w:w="1350" w:type="dxa"/>
            <w:vAlign w:val="center"/>
          </w:tcPr>
          <w:p w:rsidR="00D076F0" w:rsidRDefault="002749EF">
            <w:pPr>
              <w:jc w:val="right"/>
              <w:rPr>
                <w:snapToGrid w:val="0"/>
                <w:color w:val="000000"/>
              </w:rPr>
            </w:pPr>
            <w:r>
              <w:rPr>
                <w:snapToGrid w:val="0"/>
                <w:color w:val="000000"/>
              </w:rPr>
              <w:t>1,268</w:t>
            </w:r>
          </w:p>
        </w:tc>
        <w:tc>
          <w:tcPr>
            <w:tcW w:w="180" w:type="dxa"/>
            <w:vAlign w:val="center"/>
          </w:tcPr>
          <w:p w:rsidR="00D076F0" w:rsidRDefault="00D076F0">
            <w:pPr>
              <w:jc w:val="right"/>
              <w:rPr>
                <w:snapToGrid w:val="0"/>
                <w:color w:val="000000"/>
              </w:rPr>
            </w:pPr>
          </w:p>
        </w:tc>
        <w:tc>
          <w:tcPr>
            <w:tcW w:w="1180" w:type="dxa"/>
            <w:vAlign w:val="center"/>
          </w:tcPr>
          <w:p w:rsidR="00D076F0" w:rsidRDefault="002749EF">
            <w:pPr>
              <w:jc w:val="right"/>
              <w:rPr>
                <w:snapToGrid w:val="0"/>
                <w:color w:val="000000"/>
              </w:rPr>
            </w:pPr>
            <w:r>
              <w:rPr>
                <w:snapToGrid w:val="0"/>
                <w:color w:val="000000"/>
              </w:rPr>
              <w:t>34</w:t>
            </w:r>
          </w:p>
        </w:tc>
        <w:tc>
          <w:tcPr>
            <w:tcW w:w="90" w:type="dxa"/>
            <w:vAlign w:val="center"/>
          </w:tcPr>
          <w:p w:rsidR="00D076F0" w:rsidRDefault="00D076F0">
            <w:pPr>
              <w:jc w:val="right"/>
              <w:rPr>
                <w:snapToGrid w:val="0"/>
                <w:color w:val="000000"/>
              </w:rPr>
            </w:pPr>
          </w:p>
        </w:tc>
        <w:tc>
          <w:tcPr>
            <w:tcW w:w="1250" w:type="dxa"/>
            <w:vAlign w:val="center"/>
          </w:tcPr>
          <w:p w:rsidR="00D076F0" w:rsidRDefault="002749EF">
            <w:pPr>
              <w:jc w:val="right"/>
              <w:rPr>
                <w:snapToGrid w:val="0"/>
                <w:color w:val="000000"/>
              </w:rPr>
            </w:pPr>
            <w:r>
              <w:rPr>
                <w:snapToGrid w:val="0"/>
                <w:color w:val="000000"/>
              </w:rPr>
              <w:t>431</w:t>
            </w:r>
          </w:p>
        </w:tc>
        <w:tc>
          <w:tcPr>
            <w:tcW w:w="130" w:type="dxa"/>
            <w:vAlign w:val="center"/>
          </w:tcPr>
          <w:p w:rsidR="00D076F0" w:rsidRDefault="00D076F0">
            <w:pPr>
              <w:jc w:val="right"/>
              <w:rPr>
                <w:snapToGrid w:val="0"/>
                <w:color w:val="000000"/>
              </w:rPr>
            </w:pPr>
          </w:p>
        </w:tc>
        <w:tc>
          <w:tcPr>
            <w:tcW w:w="1230" w:type="dxa"/>
            <w:vAlign w:val="center"/>
          </w:tcPr>
          <w:p w:rsidR="00D076F0" w:rsidRDefault="002749EF">
            <w:pPr>
              <w:jc w:val="right"/>
              <w:rPr>
                <w:snapToGrid w:val="0"/>
                <w:color w:val="000000"/>
              </w:rPr>
            </w:pPr>
            <w:r>
              <w:rPr>
                <w:snapToGrid w:val="0"/>
                <w:color w:val="000000"/>
              </w:rPr>
              <w:t>237</w:t>
            </w:r>
          </w:p>
        </w:tc>
        <w:tc>
          <w:tcPr>
            <w:tcW w:w="80" w:type="dxa"/>
            <w:vAlign w:val="center"/>
          </w:tcPr>
          <w:p w:rsidR="00D076F0" w:rsidRDefault="00D076F0">
            <w:pPr>
              <w:jc w:val="right"/>
              <w:rPr>
                <w:snapToGrid w:val="0"/>
                <w:color w:val="000000"/>
              </w:rPr>
            </w:pPr>
          </w:p>
        </w:tc>
        <w:tc>
          <w:tcPr>
            <w:tcW w:w="1188" w:type="dxa"/>
            <w:vAlign w:val="center"/>
          </w:tcPr>
          <w:p w:rsidR="00D076F0" w:rsidRDefault="002749EF">
            <w:pPr>
              <w:jc w:val="right"/>
              <w:rPr>
                <w:snapToGrid w:val="0"/>
                <w:color w:val="000000"/>
              </w:rPr>
            </w:pPr>
            <w:r>
              <w:rPr>
                <w:snapToGrid w:val="0"/>
                <w:color w:val="000000"/>
              </w:rPr>
              <w:t>194</w:t>
            </w:r>
          </w:p>
        </w:tc>
      </w:tr>
      <w:tr w:rsidR="00D076F0">
        <w:tc>
          <w:tcPr>
            <w:tcW w:w="3000" w:type="dxa"/>
            <w:vAlign w:val="center"/>
          </w:tcPr>
          <w:p w:rsidR="00D076F0" w:rsidRDefault="002749EF">
            <w:pPr>
              <w:rPr>
                <w:snapToGrid w:val="0"/>
                <w:color w:val="000000"/>
              </w:rPr>
            </w:pPr>
            <w:r>
              <w:rPr>
                <w:snapToGrid w:val="0"/>
                <w:color w:val="000000"/>
              </w:rPr>
              <w:t>TEB Kıymetli Madenler A.Ş.</w:t>
            </w:r>
          </w:p>
        </w:tc>
        <w:tc>
          <w:tcPr>
            <w:tcW w:w="1350" w:type="dxa"/>
            <w:vAlign w:val="center"/>
          </w:tcPr>
          <w:p w:rsidR="00D076F0" w:rsidRDefault="002749EF">
            <w:pPr>
              <w:jc w:val="right"/>
              <w:rPr>
                <w:snapToGrid w:val="0"/>
                <w:color w:val="000000"/>
              </w:rPr>
            </w:pPr>
            <w:r>
              <w:rPr>
                <w:snapToGrid w:val="0"/>
                <w:color w:val="000000"/>
              </w:rPr>
              <w:t>283</w:t>
            </w:r>
          </w:p>
        </w:tc>
        <w:tc>
          <w:tcPr>
            <w:tcW w:w="180" w:type="dxa"/>
            <w:vAlign w:val="center"/>
          </w:tcPr>
          <w:p w:rsidR="00D076F0" w:rsidRDefault="00D076F0">
            <w:pPr>
              <w:jc w:val="right"/>
              <w:rPr>
                <w:snapToGrid w:val="0"/>
                <w:color w:val="000000"/>
              </w:rPr>
            </w:pPr>
          </w:p>
        </w:tc>
        <w:tc>
          <w:tcPr>
            <w:tcW w:w="1180" w:type="dxa"/>
            <w:vAlign w:val="center"/>
          </w:tcPr>
          <w:p w:rsidR="00D076F0" w:rsidRDefault="002749EF">
            <w:pPr>
              <w:jc w:val="right"/>
              <w:rPr>
                <w:snapToGrid w:val="0"/>
                <w:color w:val="000000"/>
              </w:rPr>
            </w:pPr>
            <w:r>
              <w:rPr>
                <w:snapToGrid w:val="0"/>
                <w:color w:val="000000"/>
              </w:rPr>
              <w:t>75</w:t>
            </w:r>
          </w:p>
        </w:tc>
        <w:tc>
          <w:tcPr>
            <w:tcW w:w="90" w:type="dxa"/>
            <w:vAlign w:val="center"/>
          </w:tcPr>
          <w:p w:rsidR="00D076F0" w:rsidRDefault="00D076F0">
            <w:pPr>
              <w:jc w:val="right"/>
              <w:rPr>
                <w:snapToGrid w:val="0"/>
                <w:color w:val="000000"/>
              </w:rPr>
            </w:pPr>
          </w:p>
        </w:tc>
        <w:tc>
          <w:tcPr>
            <w:tcW w:w="1250" w:type="dxa"/>
            <w:vAlign w:val="center"/>
          </w:tcPr>
          <w:p w:rsidR="00D076F0" w:rsidRDefault="002749EF">
            <w:pPr>
              <w:jc w:val="right"/>
              <w:rPr>
                <w:snapToGrid w:val="0"/>
                <w:color w:val="000000"/>
              </w:rPr>
            </w:pPr>
            <w:r>
              <w:rPr>
                <w:snapToGrid w:val="0"/>
                <w:color w:val="000000"/>
              </w:rPr>
              <w:t>212</w:t>
            </w:r>
          </w:p>
        </w:tc>
        <w:tc>
          <w:tcPr>
            <w:tcW w:w="130" w:type="dxa"/>
            <w:vAlign w:val="center"/>
          </w:tcPr>
          <w:p w:rsidR="00D076F0" w:rsidRDefault="00D076F0">
            <w:pPr>
              <w:jc w:val="right"/>
              <w:rPr>
                <w:snapToGrid w:val="0"/>
                <w:color w:val="000000"/>
              </w:rPr>
            </w:pPr>
          </w:p>
        </w:tc>
        <w:tc>
          <w:tcPr>
            <w:tcW w:w="1230" w:type="dxa"/>
            <w:vAlign w:val="center"/>
          </w:tcPr>
          <w:p w:rsidR="00D076F0" w:rsidRDefault="002749EF">
            <w:pPr>
              <w:jc w:val="right"/>
              <w:rPr>
                <w:snapToGrid w:val="0"/>
                <w:color w:val="000000"/>
              </w:rPr>
            </w:pPr>
            <w:r>
              <w:rPr>
                <w:snapToGrid w:val="0"/>
                <w:color w:val="000000"/>
              </w:rPr>
              <w:t>290</w:t>
            </w:r>
          </w:p>
        </w:tc>
        <w:tc>
          <w:tcPr>
            <w:tcW w:w="80" w:type="dxa"/>
            <w:vAlign w:val="center"/>
          </w:tcPr>
          <w:p w:rsidR="00D076F0" w:rsidRDefault="00D076F0">
            <w:pPr>
              <w:jc w:val="right"/>
              <w:rPr>
                <w:snapToGrid w:val="0"/>
                <w:color w:val="000000"/>
              </w:rPr>
            </w:pPr>
          </w:p>
        </w:tc>
        <w:tc>
          <w:tcPr>
            <w:tcW w:w="1188" w:type="dxa"/>
            <w:vAlign w:val="center"/>
          </w:tcPr>
          <w:p w:rsidR="00D076F0" w:rsidRDefault="002749EF">
            <w:pPr>
              <w:jc w:val="right"/>
              <w:rPr>
                <w:snapToGrid w:val="0"/>
                <w:color w:val="000000"/>
              </w:rPr>
            </w:pPr>
            <w:r>
              <w:rPr>
                <w:snapToGrid w:val="0"/>
                <w:color w:val="000000"/>
              </w:rPr>
              <w:t>(78)</w:t>
            </w:r>
          </w:p>
        </w:tc>
      </w:tr>
      <w:tr w:rsidR="00D076F0">
        <w:tc>
          <w:tcPr>
            <w:tcW w:w="3000" w:type="dxa"/>
            <w:vAlign w:val="center"/>
          </w:tcPr>
          <w:p w:rsidR="00D076F0" w:rsidRDefault="00D076F0">
            <w:pPr>
              <w:rPr>
                <w:b/>
                <w:snapToGrid w:val="0"/>
                <w:color w:val="000000"/>
                <w:u w:val="single"/>
              </w:rPr>
            </w:pPr>
          </w:p>
        </w:tc>
        <w:tc>
          <w:tcPr>
            <w:tcW w:w="1350" w:type="dxa"/>
            <w:vAlign w:val="center"/>
          </w:tcPr>
          <w:p w:rsidR="00D076F0" w:rsidRDefault="00D076F0">
            <w:pPr>
              <w:jc w:val="right"/>
              <w:rPr>
                <w:snapToGrid w:val="0"/>
                <w:color w:val="000000"/>
              </w:rPr>
            </w:pPr>
          </w:p>
        </w:tc>
        <w:tc>
          <w:tcPr>
            <w:tcW w:w="180" w:type="dxa"/>
            <w:vAlign w:val="center"/>
          </w:tcPr>
          <w:p w:rsidR="00D076F0" w:rsidRDefault="00D076F0">
            <w:pPr>
              <w:jc w:val="right"/>
              <w:rPr>
                <w:snapToGrid w:val="0"/>
                <w:color w:val="000000"/>
              </w:rPr>
            </w:pPr>
          </w:p>
        </w:tc>
        <w:tc>
          <w:tcPr>
            <w:tcW w:w="1180" w:type="dxa"/>
            <w:vAlign w:val="center"/>
          </w:tcPr>
          <w:p w:rsidR="00D076F0" w:rsidRDefault="00D076F0">
            <w:pPr>
              <w:jc w:val="right"/>
              <w:rPr>
                <w:snapToGrid w:val="0"/>
                <w:color w:val="000000"/>
              </w:rPr>
            </w:pPr>
          </w:p>
        </w:tc>
        <w:tc>
          <w:tcPr>
            <w:tcW w:w="90" w:type="dxa"/>
            <w:vAlign w:val="center"/>
          </w:tcPr>
          <w:p w:rsidR="00D076F0" w:rsidRDefault="00D076F0">
            <w:pPr>
              <w:jc w:val="right"/>
              <w:rPr>
                <w:snapToGrid w:val="0"/>
                <w:color w:val="000000"/>
              </w:rPr>
            </w:pPr>
          </w:p>
        </w:tc>
        <w:tc>
          <w:tcPr>
            <w:tcW w:w="1250" w:type="dxa"/>
            <w:vAlign w:val="center"/>
          </w:tcPr>
          <w:p w:rsidR="00D076F0" w:rsidRDefault="00D076F0">
            <w:pPr>
              <w:jc w:val="right"/>
              <w:rPr>
                <w:snapToGrid w:val="0"/>
                <w:color w:val="000000"/>
              </w:rPr>
            </w:pPr>
          </w:p>
        </w:tc>
        <w:tc>
          <w:tcPr>
            <w:tcW w:w="130" w:type="dxa"/>
            <w:vAlign w:val="center"/>
          </w:tcPr>
          <w:p w:rsidR="00D076F0" w:rsidRDefault="00D076F0">
            <w:pPr>
              <w:jc w:val="right"/>
              <w:rPr>
                <w:snapToGrid w:val="0"/>
                <w:color w:val="000000"/>
              </w:rPr>
            </w:pPr>
          </w:p>
        </w:tc>
        <w:tc>
          <w:tcPr>
            <w:tcW w:w="1230" w:type="dxa"/>
            <w:vAlign w:val="center"/>
          </w:tcPr>
          <w:p w:rsidR="00D076F0" w:rsidRDefault="00D076F0">
            <w:pPr>
              <w:jc w:val="right"/>
              <w:rPr>
                <w:snapToGrid w:val="0"/>
                <w:color w:val="000000"/>
              </w:rPr>
            </w:pPr>
          </w:p>
        </w:tc>
        <w:tc>
          <w:tcPr>
            <w:tcW w:w="80" w:type="dxa"/>
            <w:vAlign w:val="center"/>
          </w:tcPr>
          <w:p w:rsidR="00D076F0" w:rsidRDefault="00D076F0">
            <w:pPr>
              <w:jc w:val="right"/>
              <w:rPr>
                <w:snapToGrid w:val="0"/>
                <w:color w:val="000000"/>
              </w:rPr>
            </w:pPr>
          </w:p>
        </w:tc>
        <w:tc>
          <w:tcPr>
            <w:tcW w:w="1188" w:type="dxa"/>
            <w:vAlign w:val="center"/>
          </w:tcPr>
          <w:p w:rsidR="00D076F0" w:rsidRDefault="00D076F0">
            <w:pPr>
              <w:jc w:val="right"/>
              <w:rPr>
                <w:snapToGrid w:val="0"/>
                <w:color w:val="000000"/>
              </w:rPr>
            </w:pPr>
          </w:p>
        </w:tc>
      </w:tr>
    </w:tbl>
    <w:p w:rsidR="00D076F0" w:rsidRDefault="002749EF">
      <w:pPr>
        <w:tabs>
          <w:tab w:val="left" w:pos="864"/>
          <w:tab w:val="left" w:pos="1584"/>
          <w:tab w:val="left" w:pos="7056"/>
          <w:tab w:val="left" w:pos="8496"/>
        </w:tabs>
        <w:ind w:right="14"/>
        <w:rPr>
          <w:sz w:val="20"/>
        </w:rPr>
      </w:pPr>
      <w:r>
        <w:rPr>
          <w:sz w:val="20"/>
        </w:rPr>
        <w:t>(*) Reflected at historical amounts.</w:t>
      </w:r>
    </w:p>
    <w:p w:rsidR="00D076F0" w:rsidRDefault="00D076F0">
      <w:pPr>
        <w:tabs>
          <w:tab w:val="left" w:pos="864"/>
          <w:tab w:val="left" w:pos="1584"/>
          <w:tab w:val="left" w:pos="7056"/>
          <w:tab w:val="left" w:pos="8496"/>
        </w:tabs>
        <w:ind w:right="14"/>
      </w:pPr>
    </w:p>
    <w:p w:rsidR="00D076F0" w:rsidRDefault="002749EF">
      <w:pPr>
        <w:pStyle w:val="BlockText"/>
        <w:tabs>
          <w:tab w:val="left" w:pos="7056"/>
          <w:tab w:val="left" w:pos="8496"/>
        </w:tabs>
        <w:ind w:left="0" w:right="14" w:firstLine="0"/>
        <w:rPr>
          <w:b/>
          <w:u w:val="single"/>
        </w:rPr>
      </w:pPr>
      <w:r>
        <w:rPr>
          <w:b/>
        </w:rPr>
        <w:t>(16)  REVALUATION SURPLUS, GENERATED DUE TO INTERCOMPANY</w:t>
      </w:r>
      <w:r>
        <w:rPr>
          <w:b/>
        </w:rPr>
        <w:t xml:space="preserve"> FIXED ASSET</w:t>
      </w:r>
      <w:r>
        <w:rPr>
          <w:b/>
          <w:u w:val="single"/>
        </w:rPr>
        <w:t xml:space="preserve"> </w:t>
      </w:r>
    </w:p>
    <w:p w:rsidR="00D076F0" w:rsidRDefault="002749EF">
      <w:pPr>
        <w:pStyle w:val="BlockText"/>
        <w:tabs>
          <w:tab w:val="left" w:pos="7056"/>
          <w:tab w:val="left" w:pos="8496"/>
        </w:tabs>
        <w:ind w:left="0" w:right="14" w:firstLine="0"/>
        <w:rPr>
          <w:b/>
          <w:u w:val="single"/>
        </w:rPr>
      </w:pPr>
      <w:r>
        <w:rPr>
          <w:b/>
          <w:u w:val="single"/>
        </w:rPr>
        <w:t xml:space="preserve">              PURCHASE AND SALE WHICH HAS BEEN ADDED TO SHARE CAPITAL         :</w:t>
      </w:r>
    </w:p>
    <w:p w:rsidR="00D076F0" w:rsidRDefault="00D076F0">
      <w:pPr>
        <w:tabs>
          <w:tab w:val="left" w:pos="864"/>
          <w:tab w:val="left" w:pos="1584"/>
          <w:tab w:val="left" w:pos="7056"/>
          <w:tab w:val="left" w:pos="8496"/>
        </w:tabs>
        <w:ind w:right="14"/>
      </w:pPr>
    </w:p>
    <w:p w:rsidR="00D076F0" w:rsidRDefault="002749EF">
      <w:pPr>
        <w:tabs>
          <w:tab w:val="left" w:pos="864"/>
          <w:tab w:val="left" w:pos="1584"/>
          <w:tab w:val="left" w:pos="7056"/>
          <w:tab w:val="left" w:pos="8496"/>
        </w:tabs>
        <w:ind w:right="14"/>
      </w:pPr>
      <w:r>
        <w:t>None.</w:t>
      </w:r>
    </w:p>
    <w:p w:rsidR="00D076F0" w:rsidRDefault="00D076F0">
      <w:pPr>
        <w:tabs>
          <w:tab w:val="left" w:pos="864"/>
          <w:tab w:val="left" w:pos="1584"/>
          <w:tab w:val="left" w:pos="7056"/>
          <w:tab w:val="left" w:pos="8496"/>
        </w:tabs>
        <w:ind w:right="14"/>
      </w:pPr>
    </w:p>
    <w:p w:rsidR="00D076F0" w:rsidRDefault="00D076F0">
      <w:pPr>
        <w:tabs>
          <w:tab w:val="left" w:pos="864"/>
          <w:tab w:val="left" w:pos="1584"/>
          <w:tab w:val="left" w:pos="7056"/>
          <w:tab w:val="left" w:pos="8496"/>
        </w:tabs>
        <w:ind w:right="14"/>
      </w:pPr>
    </w:p>
    <w:p w:rsidR="00D076F0" w:rsidRDefault="002749EF">
      <w:pPr>
        <w:tabs>
          <w:tab w:val="left" w:pos="864"/>
          <w:tab w:val="left" w:pos="1584"/>
          <w:tab w:val="left" w:pos="7056"/>
          <w:tab w:val="left" w:pos="8496"/>
        </w:tabs>
        <w:ind w:right="14"/>
        <w:rPr>
          <w:b/>
          <w:u w:val="single"/>
        </w:rPr>
      </w:pPr>
      <w:r>
        <w:rPr>
          <w:b/>
        </w:rPr>
        <w:t>(17)  POSITIVE OR NEGATIVE GOODWILL GENERATED DUE TO SUBSIDIARIES</w:t>
      </w:r>
      <w:r>
        <w:rPr>
          <w:b/>
          <w:u w:val="single"/>
        </w:rPr>
        <w:t xml:space="preserve"> </w:t>
      </w:r>
    </w:p>
    <w:p w:rsidR="00D076F0" w:rsidRDefault="002749EF">
      <w:pPr>
        <w:tabs>
          <w:tab w:val="left" w:pos="864"/>
          <w:tab w:val="left" w:pos="1584"/>
          <w:tab w:val="left" w:pos="7056"/>
          <w:tab w:val="left" w:pos="8496"/>
        </w:tabs>
        <w:ind w:right="14"/>
        <w:rPr>
          <w:b/>
          <w:u w:val="single"/>
        </w:rPr>
      </w:pPr>
      <w:r>
        <w:rPr>
          <w:b/>
          <w:u w:val="single"/>
        </w:rPr>
        <w:t xml:space="preserve">         WHOSE FINANCIAL STATEMENTS HAVE BEEN CONSOLIDATED              :</w:t>
      </w:r>
    </w:p>
    <w:p w:rsidR="00D076F0" w:rsidRDefault="00D076F0">
      <w:pPr>
        <w:tabs>
          <w:tab w:val="left" w:pos="864"/>
          <w:tab w:val="left" w:pos="1584"/>
          <w:tab w:val="left" w:pos="7056"/>
          <w:tab w:val="left" w:pos="8496"/>
        </w:tabs>
        <w:ind w:right="14"/>
      </w:pPr>
    </w:p>
    <w:p w:rsidR="00D076F0" w:rsidRDefault="002749EF">
      <w:pPr>
        <w:tabs>
          <w:tab w:val="left" w:pos="864"/>
          <w:tab w:val="left" w:pos="1584"/>
          <w:tab w:val="left" w:pos="7056"/>
          <w:tab w:val="left" w:pos="8496"/>
        </w:tabs>
        <w:ind w:right="14"/>
        <w:jc w:val="both"/>
      </w:pPr>
      <w:r>
        <w:t xml:space="preserve">The </w:t>
      </w:r>
      <w:r>
        <w:t>negative difference due to the changes in the shareholding structure in 2000 amounting to TL488 between the cost and the net asset value per share of Teb Finansal Kiralama A.Ş. at June 30, 2002, has been reflected as the negative consolidation goodwill cap</w:t>
      </w:r>
      <w:r>
        <w:t>tion and the positive difference between the cost and the net asset value per share of Teb Factoring A.Ş. which amounts to TL255 has been recorded as goodwill in the accompanying consolidated financial statements.</w:t>
      </w:r>
    </w:p>
    <w:p w:rsidR="00D076F0" w:rsidRDefault="00D076F0">
      <w:pPr>
        <w:tabs>
          <w:tab w:val="left" w:pos="1584"/>
          <w:tab w:val="left" w:pos="7200"/>
          <w:tab w:val="left" w:pos="8496"/>
        </w:tabs>
        <w:ind w:right="14"/>
      </w:pPr>
    </w:p>
    <w:p w:rsidR="00D076F0" w:rsidRDefault="00D076F0">
      <w:pPr>
        <w:tabs>
          <w:tab w:val="left" w:pos="1584"/>
          <w:tab w:val="left" w:pos="7200"/>
          <w:tab w:val="left" w:pos="8496"/>
        </w:tabs>
        <w:ind w:right="14"/>
      </w:pPr>
    </w:p>
    <w:p w:rsidR="00D076F0" w:rsidRDefault="002749EF">
      <w:pPr>
        <w:tabs>
          <w:tab w:val="left" w:pos="1584"/>
          <w:tab w:val="left" w:pos="7200"/>
          <w:tab w:val="left" w:pos="8496"/>
        </w:tabs>
        <w:ind w:right="14"/>
        <w:rPr>
          <w:b/>
        </w:rPr>
      </w:pPr>
      <w:r>
        <w:rPr>
          <w:b/>
        </w:rPr>
        <w:t>(18)  “OTHER” BALANCES IN THE ACCOMPANYI</w:t>
      </w:r>
      <w:r>
        <w:rPr>
          <w:b/>
        </w:rPr>
        <w:t xml:space="preserve">NG FINANCIAL STATEMENTS </w:t>
      </w:r>
    </w:p>
    <w:p w:rsidR="00D076F0" w:rsidRDefault="002749EF">
      <w:pPr>
        <w:tabs>
          <w:tab w:val="left" w:pos="1584"/>
          <w:tab w:val="left" w:pos="7200"/>
          <w:tab w:val="left" w:pos="8496"/>
        </w:tabs>
        <w:ind w:right="14"/>
        <w:rPr>
          <w:b/>
          <w:u w:val="single"/>
        </w:rPr>
      </w:pPr>
      <w:r>
        <w:rPr>
          <w:b/>
        </w:rPr>
        <w:t xml:space="preserve">          WHICH HAVE SIGNIFICANCE FOR DIFFERENT KINDS OF FINANCIAL  </w:t>
      </w:r>
    </w:p>
    <w:p w:rsidR="00D076F0" w:rsidRDefault="002749EF">
      <w:pPr>
        <w:tabs>
          <w:tab w:val="left" w:pos="1584"/>
          <w:tab w:val="left" w:pos="7200"/>
          <w:tab w:val="left" w:pos="8496"/>
        </w:tabs>
        <w:ind w:right="14"/>
        <w:rPr>
          <w:b/>
          <w:u w:val="single"/>
        </w:rPr>
      </w:pPr>
      <w:r>
        <w:rPr>
          <w:b/>
          <w:u w:val="single"/>
        </w:rPr>
        <w:t xml:space="preserve">          INSTITUTIONS                                                                                                 :</w:t>
      </w:r>
    </w:p>
    <w:p w:rsidR="00D076F0" w:rsidRDefault="00D076F0">
      <w:pPr>
        <w:tabs>
          <w:tab w:val="left" w:pos="1584"/>
          <w:tab w:val="left" w:pos="7200"/>
          <w:tab w:val="left" w:pos="8496"/>
        </w:tabs>
        <w:ind w:right="14"/>
      </w:pPr>
    </w:p>
    <w:p w:rsidR="00D076F0" w:rsidRDefault="002749EF">
      <w:pPr>
        <w:tabs>
          <w:tab w:val="left" w:pos="1584"/>
          <w:tab w:val="left" w:pos="7200"/>
          <w:tab w:val="left" w:pos="8496"/>
        </w:tabs>
        <w:ind w:right="14"/>
      </w:pPr>
      <w:r>
        <w:t>None.</w:t>
      </w:r>
    </w:p>
    <w:p w:rsidR="00D076F0" w:rsidRDefault="002749EF">
      <w:pPr>
        <w:pStyle w:val="BodyText2"/>
        <w:jc w:val="center"/>
      </w:pPr>
      <w:r>
        <w:br w:type="page"/>
      </w:r>
    </w:p>
    <w:p w:rsidR="00D076F0" w:rsidRDefault="00D076F0">
      <w:pPr>
        <w:pStyle w:val="BodyText2"/>
        <w:jc w:val="center"/>
      </w:pPr>
    </w:p>
    <w:p w:rsidR="00D076F0" w:rsidRDefault="002749EF">
      <w:pPr>
        <w:pStyle w:val="BodyText2"/>
        <w:jc w:val="center"/>
      </w:pPr>
      <w:r>
        <w:t>-12-</w:t>
      </w:r>
    </w:p>
    <w:p w:rsidR="00D076F0" w:rsidRDefault="00D076F0">
      <w:pPr>
        <w:tabs>
          <w:tab w:val="left" w:pos="576"/>
          <w:tab w:val="left" w:pos="864"/>
          <w:tab w:val="left" w:pos="1584"/>
          <w:tab w:val="left" w:pos="2016"/>
          <w:tab w:val="left" w:pos="4032"/>
        </w:tabs>
        <w:ind w:right="14"/>
        <w:jc w:val="center"/>
      </w:pPr>
    </w:p>
    <w:p w:rsidR="00D076F0" w:rsidRDefault="002749EF">
      <w:pPr>
        <w:tabs>
          <w:tab w:val="left" w:pos="576"/>
          <w:tab w:val="left" w:pos="864"/>
          <w:tab w:val="left" w:pos="1584"/>
          <w:tab w:val="left" w:pos="2016"/>
          <w:tab w:val="left" w:pos="4032"/>
        </w:tabs>
        <w:ind w:right="14"/>
        <w:jc w:val="center"/>
      </w:pPr>
      <w:r>
        <w:t xml:space="preserve">(CONVENIENCE TRANSLATION </w:t>
      </w:r>
      <w:r>
        <w:t>OF A REPORT AND FINANCIAL STATEMENTS ORIGINALLY ISSUED IN TURKISH – SEE NOTE 9)</w:t>
      </w:r>
    </w:p>
    <w:p w:rsidR="00D076F0" w:rsidRDefault="00D076F0">
      <w:pPr>
        <w:pStyle w:val="BodyText2"/>
        <w:tabs>
          <w:tab w:val="left" w:pos="864"/>
          <w:tab w:val="left" w:pos="7056"/>
          <w:tab w:val="left" w:pos="8496"/>
        </w:tabs>
        <w:jc w:val="left"/>
      </w:pPr>
    </w:p>
    <w:p w:rsidR="00D076F0" w:rsidRDefault="002749EF">
      <w:pPr>
        <w:tabs>
          <w:tab w:val="left" w:pos="1584"/>
          <w:tab w:val="left" w:pos="7200"/>
          <w:tab w:val="left" w:pos="8496"/>
        </w:tabs>
        <w:ind w:right="14"/>
        <w:rPr>
          <w:b/>
          <w:u w:val="single"/>
        </w:rPr>
      </w:pPr>
      <w:r>
        <w:rPr>
          <w:b/>
          <w:u w:val="single"/>
        </w:rPr>
        <w:t>(19)  SHARE CAPITAL:</w:t>
      </w:r>
    </w:p>
    <w:p w:rsidR="00D076F0" w:rsidRDefault="00D076F0">
      <w:pPr>
        <w:tabs>
          <w:tab w:val="left" w:pos="432"/>
          <w:tab w:val="left" w:pos="864"/>
          <w:tab w:val="left" w:pos="1152"/>
        </w:tabs>
        <w:ind w:right="14"/>
      </w:pPr>
    </w:p>
    <w:p w:rsidR="00D076F0" w:rsidRDefault="002749EF">
      <w:pPr>
        <w:tabs>
          <w:tab w:val="left" w:pos="432"/>
          <w:tab w:val="left" w:pos="864"/>
          <w:tab w:val="left" w:pos="1152"/>
        </w:tabs>
        <w:ind w:right="14"/>
        <w:jc w:val="both"/>
      </w:pPr>
      <w:r>
        <w:t xml:space="preserve">As of June 30, 2002, the Bank’s statutory issued and paid-in share capital consists of issued authorized and fully paid 110,250 million shares having a </w:t>
      </w:r>
      <w:r>
        <w:t>par value of five hundred Turkish lira (in full TL) each.</w:t>
      </w:r>
    </w:p>
    <w:p w:rsidR="00D076F0" w:rsidRDefault="00D076F0">
      <w:pPr>
        <w:tabs>
          <w:tab w:val="left" w:pos="432"/>
          <w:tab w:val="left" w:pos="864"/>
          <w:tab w:val="left" w:pos="1152"/>
        </w:tabs>
        <w:ind w:right="14"/>
      </w:pPr>
    </w:p>
    <w:p w:rsidR="00D076F0" w:rsidRDefault="002749EF">
      <w:pPr>
        <w:tabs>
          <w:tab w:val="left" w:pos="432"/>
          <w:tab w:val="left" w:pos="864"/>
          <w:tab w:val="left" w:pos="1152"/>
        </w:tabs>
        <w:ind w:right="14"/>
        <w:jc w:val="both"/>
      </w:pPr>
      <w:r>
        <w:t>As of June 30, 2002, the authorized and paid-in share capital of the Bank is as follows:</w:t>
      </w:r>
    </w:p>
    <w:p w:rsidR="00D076F0" w:rsidRDefault="00D076F0">
      <w:pPr>
        <w:tabs>
          <w:tab w:val="left" w:pos="1584"/>
          <w:tab w:val="left" w:pos="7200"/>
          <w:tab w:val="left" w:pos="8496"/>
        </w:tabs>
        <w:ind w:right="14"/>
      </w:pPr>
    </w:p>
    <w:tbl>
      <w:tblPr>
        <w:tblW w:w="0" w:type="auto"/>
        <w:tblInd w:w="360" w:type="dxa"/>
        <w:tblLayout w:type="fixed"/>
        <w:tblLook w:val="0000" w:firstRow="0" w:lastRow="0" w:firstColumn="0" w:lastColumn="0" w:noHBand="0" w:noVBand="0"/>
      </w:tblPr>
      <w:tblGrid>
        <w:gridCol w:w="2972"/>
        <w:gridCol w:w="242"/>
        <w:gridCol w:w="1238"/>
        <w:gridCol w:w="236"/>
        <w:gridCol w:w="991"/>
        <w:gridCol w:w="263"/>
        <w:gridCol w:w="991"/>
        <w:gridCol w:w="269"/>
        <w:gridCol w:w="991"/>
      </w:tblGrid>
      <w:tr w:rsidR="00D076F0">
        <w:trPr>
          <w:cantSplit/>
        </w:trPr>
        <w:tc>
          <w:tcPr>
            <w:tcW w:w="2972" w:type="dxa"/>
          </w:tcPr>
          <w:p w:rsidR="00D076F0" w:rsidRDefault="00D076F0">
            <w:pPr>
              <w:rPr>
                <w:u w:val="single"/>
              </w:rPr>
            </w:pPr>
          </w:p>
        </w:tc>
        <w:tc>
          <w:tcPr>
            <w:tcW w:w="242" w:type="dxa"/>
          </w:tcPr>
          <w:p w:rsidR="00D076F0" w:rsidRDefault="00D076F0"/>
        </w:tc>
        <w:tc>
          <w:tcPr>
            <w:tcW w:w="2465" w:type="dxa"/>
            <w:gridSpan w:val="3"/>
            <w:tcBorders>
              <w:bottom w:val="single" w:sz="6" w:space="0" w:color="auto"/>
            </w:tcBorders>
          </w:tcPr>
          <w:p w:rsidR="00D076F0" w:rsidRDefault="002749EF">
            <w:pPr>
              <w:jc w:val="center"/>
            </w:pPr>
            <w:r>
              <w:t>June 30, 2002</w:t>
            </w:r>
          </w:p>
        </w:tc>
        <w:tc>
          <w:tcPr>
            <w:tcW w:w="263" w:type="dxa"/>
          </w:tcPr>
          <w:p w:rsidR="00D076F0" w:rsidRDefault="00D076F0"/>
        </w:tc>
        <w:tc>
          <w:tcPr>
            <w:tcW w:w="2251" w:type="dxa"/>
            <w:gridSpan w:val="3"/>
          </w:tcPr>
          <w:p w:rsidR="00D076F0" w:rsidRDefault="00D076F0">
            <w:pPr>
              <w:jc w:val="center"/>
            </w:pPr>
          </w:p>
        </w:tc>
      </w:tr>
      <w:tr w:rsidR="00D076F0">
        <w:trPr>
          <w:cantSplit/>
        </w:trPr>
        <w:tc>
          <w:tcPr>
            <w:tcW w:w="2972" w:type="dxa"/>
          </w:tcPr>
          <w:p w:rsidR="00D076F0" w:rsidRDefault="00D076F0">
            <w:pPr>
              <w:rPr>
                <w:u w:val="single"/>
              </w:rPr>
            </w:pPr>
          </w:p>
        </w:tc>
        <w:tc>
          <w:tcPr>
            <w:tcW w:w="242" w:type="dxa"/>
          </w:tcPr>
          <w:p w:rsidR="00D076F0" w:rsidRDefault="00D076F0"/>
        </w:tc>
        <w:tc>
          <w:tcPr>
            <w:tcW w:w="1238" w:type="dxa"/>
            <w:tcBorders>
              <w:bottom w:val="single" w:sz="6" w:space="0" w:color="auto"/>
            </w:tcBorders>
          </w:tcPr>
          <w:p w:rsidR="00D076F0" w:rsidRDefault="002749EF">
            <w:pPr>
              <w:jc w:val="center"/>
            </w:pPr>
            <w:r>
              <w:t>Amount (*)</w:t>
            </w:r>
          </w:p>
        </w:tc>
        <w:tc>
          <w:tcPr>
            <w:tcW w:w="236" w:type="dxa"/>
          </w:tcPr>
          <w:p w:rsidR="00D076F0" w:rsidRDefault="00D076F0"/>
        </w:tc>
        <w:tc>
          <w:tcPr>
            <w:tcW w:w="991" w:type="dxa"/>
            <w:tcBorders>
              <w:bottom w:val="single" w:sz="6" w:space="0" w:color="auto"/>
            </w:tcBorders>
          </w:tcPr>
          <w:p w:rsidR="00D076F0" w:rsidRDefault="002749EF">
            <w:pPr>
              <w:jc w:val="center"/>
            </w:pPr>
            <w:r>
              <w:t>%</w:t>
            </w:r>
          </w:p>
        </w:tc>
        <w:tc>
          <w:tcPr>
            <w:tcW w:w="263" w:type="dxa"/>
          </w:tcPr>
          <w:p w:rsidR="00D076F0" w:rsidRDefault="00D076F0"/>
        </w:tc>
        <w:tc>
          <w:tcPr>
            <w:tcW w:w="991" w:type="dxa"/>
          </w:tcPr>
          <w:p w:rsidR="00D076F0" w:rsidRDefault="00D076F0">
            <w:pPr>
              <w:jc w:val="center"/>
            </w:pPr>
          </w:p>
        </w:tc>
        <w:tc>
          <w:tcPr>
            <w:tcW w:w="269" w:type="dxa"/>
          </w:tcPr>
          <w:p w:rsidR="00D076F0" w:rsidRDefault="00D076F0"/>
        </w:tc>
        <w:tc>
          <w:tcPr>
            <w:tcW w:w="991" w:type="dxa"/>
          </w:tcPr>
          <w:p w:rsidR="00D076F0" w:rsidRDefault="00D076F0">
            <w:pPr>
              <w:jc w:val="center"/>
            </w:pPr>
          </w:p>
        </w:tc>
      </w:tr>
      <w:tr w:rsidR="00D076F0">
        <w:trPr>
          <w:cantSplit/>
        </w:trPr>
        <w:tc>
          <w:tcPr>
            <w:tcW w:w="2972" w:type="dxa"/>
          </w:tcPr>
          <w:p w:rsidR="00D076F0" w:rsidRDefault="00D076F0">
            <w:pPr>
              <w:rPr>
                <w:u w:val="single"/>
              </w:rPr>
            </w:pPr>
          </w:p>
        </w:tc>
        <w:tc>
          <w:tcPr>
            <w:tcW w:w="242" w:type="dxa"/>
          </w:tcPr>
          <w:p w:rsidR="00D076F0" w:rsidRDefault="00D076F0"/>
        </w:tc>
        <w:tc>
          <w:tcPr>
            <w:tcW w:w="1238" w:type="dxa"/>
          </w:tcPr>
          <w:p w:rsidR="00D076F0" w:rsidRDefault="00D076F0">
            <w:pPr>
              <w:jc w:val="center"/>
            </w:pPr>
          </w:p>
        </w:tc>
        <w:tc>
          <w:tcPr>
            <w:tcW w:w="236" w:type="dxa"/>
          </w:tcPr>
          <w:p w:rsidR="00D076F0" w:rsidRDefault="00D076F0"/>
        </w:tc>
        <w:tc>
          <w:tcPr>
            <w:tcW w:w="991" w:type="dxa"/>
          </w:tcPr>
          <w:p w:rsidR="00D076F0" w:rsidRDefault="00D076F0">
            <w:pPr>
              <w:jc w:val="right"/>
            </w:pPr>
          </w:p>
        </w:tc>
        <w:tc>
          <w:tcPr>
            <w:tcW w:w="263" w:type="dxa"/>
          </w:tcPr>
          <w:p w:rsidR="00D076F0" w:rsidRDefault="00D076F0"/>
        </w:tc>
        <w:tc>
          <w:tcPr>
            <w:tcW w:w="991" w:type="dxa"/>
          </w:tcPr>
          <w:p w:rsidR="00D076F0" w:rsidRDefault="00D076F0">
            <w:pPr>
              <w:jc w:val="center"/>
            </w:pPr>
          </w:p>
        </w:tc>
        <w:tc>
          <w:tcPr>
            <w:tcW w:w="269" w:type="dxa"/>
          </w:tcPr>
          <w:p w:rsidR="00D076F0" w:rsidRDefault="00D076F0"/>
        </w:tc>
        <w:tc>
          <w:tcPr>
            <w:tcW w:w="991" w:type="dxa"/>
          </w:tcPr>
          <w:p w:rsidR="00D076F0" w:rsidRDefault="00D076F0">
            <w:pPr>
              <w:jc w:val="right"/>
            </w:pPr>
          </w:p>
        </w:tc>
      </w:tr>
      <w:tr w:rsidR="00D076F0">
        <w:trPr>
          <w:cantSplit/>
        </w:trPr>
        <w:tc>
          <w:tcPr>
            <w:tcW w:w="2972" w:type="dxa"/>
            <w:vAlign w:val="center"/>
          </w:tcPr>
          <w:p w:rsidR="00D076F0" w:rsidRDefault="002749EF">
            <w:r>
              <w:t xml:space="preserve">TEB Mali Yatırımlar A.Ş. </w:t>
            </w:r>
          </w:p>
        </w:tc>
        <w:tc>
          <w:tcPr>
            <w:tcW w:w="242" w:type="dxa"/>
            <w:vAlign w:val="center"/>
          </w:tcPr>
          <w:p w:rsidR="00D076F0" w:rsidRDefault="00D076F0"/>
        </w:tc>
        <w:tc>
          <w:tcPr>
            <w:tcW w:w="1238" w:type="dxa"/>
            <w:vAlign w:val="center"/>
          </w:tcPr>
          <w:p w:rsidR="00D076F0" w:rsidRDefault="002749EF">
            <w:pPr>
              <w:jc w:val="right"/>
            </w:pPr>
            <w:r>
              <w:t>38,631</w:t>
            </w:r>
          </w:p>
        </w:tc>
        <w:tc>
          <w:tcPr>
            <w:tcW w:w="236" w:type="dxa"/>
            <w:vAlign w:val="center"/>
          </w:tcPr>
          <w:p w:rsidR="00D076F0" w:rsidRDefault="00D076F0">
            <w:pPr>
              <w:jc w:val="right"/>
            </w:pPr>
          </w:p>
        </w:tc>
        <w:tc>
          <w:tcPr>
            <w:tcW w:w="991" w:type="dxa"/>
            <w:vAlign w:val="center"/>
          </w:tcPr>
          <w:p w:rsidR="00D076F0" w:rsidRDefault="002749EF">
            <w:pPr>
              <w:jc w:val="right"/>
            </w:pPr>
            <w:r>
              <w:t>70.1</w:t>
            </w:r>
          </w:p>
        </w:tc>
        <w:tc>
          <w:tcPr>
            <w:tcW w:w="263" w:type="dxa"/>
          </w:tcPr>
          <w:p w:rsidR="00D076F0" w:rsidRDefault="00D076F0"/>
        </w:tc>
        <w:tc>
          <w:tcPr>
            <w:tcW w:w="991" w:type="dxa"/>
          </w:tcPr>
          <w:p w:rsidR="00D076F0" w:rsidRDefault="00D076F0">
            <w:pPr>
              <w:jc w:val="right"/>
            </w:pPr>
          </w:p>
        </w:tc>
        <w:tc>
          <w:tcPr>
            <w:tcW w:w="269" w:type="dxa"/>
          </w:tcPr>
          <w:p w:rsidR="00D076F0" w:rsidRDefault="00D076F0">
            <w:pPr>
              <w:jc w:val="right"/>
            </w:pPr>
          </w:p>
        </w:tc>
        <w:tc>
          <w:tcPr>
            <w:tcW w:w="991" w:type="dxa"/>
          </w:tcPr>
          <w:p w:rsidR="00D076F0" w:rsidRDefault="00D076F0">
            <w:pPr>
              <w:jc w:val="right"/>
            </w:pPr>
          </w:p>
        </w:tc>
      </w:tr>
      <w:tr w:rsidR="00D076F0">
        <w:trPr>
          <w:cantSplit/>
        </w:trPr>
        <w:tc>
          <w:tcPr>
            <w:tcW w:w="2972" w:type="dxa"/>
            <w:vAlign w:val="center"/>
          </w:tcPr>
          <w:p w:rsidR="00D076F0" w:rsidRDefault="002749EF">
            <w:r>
              <w:t xml:space="preserve">Çolakoğlu </w:t>
            </w:r>
            <w:r>
              <w:t>Metalurji A.Ş.</w:t>
            </w:r>
          </w:p>
        </w:tc>
        <w:tc>
          <w:tcPr>
            <w:tcW w:w="242" w:type="dxa"/>
            <w:vAlign w:val="center"/>
          </w:tcPr>
          <w:p w:rsidR="00D076F0" w:rsidRDefault="00D076F0"/>
        </w:tc>
        <w:tc>
          <w:tcPr>
            <w:tcW w:w="1238" w:type="dxa"/>
            <w:vAlign w:val="center"/>
          </w:tcPr>
          <w:p w:rsidR="00D076F0" w:rsidRDefault="002749EF">
            <w:pPr>
              <w:jc w:val="right"/>
            </w:pPr>
            <w:r>
              <w:t>4,739</w:t>
            </w:r>
          </w:p>
        </w:tc>
        <w:tc>
          <w:tcPr>
            <w:tcW w:w="236" w:type="dxa"/>
            <w:vAlign w:val="center"/>
          </w:tcPr>
          <w:p w:rsidR="00D076F0" w:rsidRDefault="00D076F0">
            <w:pPr>
              <w:jc w:val="right"/>
            </w:pPr>
          </w:p>
        </w:tc>
        <w:tc>
          <w:tcPr>
            <w:tcW w:w="991" w:type="dxa"/>
            <w:vAlign w:val="center"/>
          </w:tcPr>
          <w:p w:rsidR="00D076F0" w:rsidRDefault="002749EF">
            <w:pPr>
              <w:jc w:val="right"/>
            </w:pPr>
            <w:r>
              <w:t>8.6</w:t>
            </w:r>
          </w:p>
        </w:tc>
        <w:tc>
          <w:tcPr>
            <w:tcW w:w="263" w:type="dxa"/>
          </w:tcPr>
          <w:p w:rsidR="00D076F0" w:rsidRDefault="00D076F0"/>
        </w:tc>
        <w:tc>
          <w:tcPr>
            <w:tcW w:w="991" w:type="dxa"/>
          </w:tcPr>
          <w:p w:rsidR="00D076F0" w:rsidRDefault="00D076F0">
            <w:pPr>
              <w:jc w:val="right"/>
            </w:pPr>
          </w:p>
        </w:tc>
        <w:tc>
          <w:tcPr>
            <w:tcW w:w="269" w:type="dxa"/>
          </w:tcPr>
          <w:p w:rsidR="00D076F0" w:rsidRDefault="00D076F0">
            <w:pPr>
              <w:jc w:val="right"/>
            </w:pPr>
          </w:p>
        </w:tc>
        <w:tc>
          <w:tcPr>
            <w:tcW w:w="991" w:type="dxa"/>
          </w:tcPr>
          <w:p w:rsidR="00D076F0" w:rsidRDefault="00D076F0">
            <w:pPr>
              <w:jc w:val="right"/>
            </w:pPr>
          </w:p>
        </w:tc>
      </w:tr>
      <w:tr w:rsidR="00D076F0">
        <w:trPr>
          <w:cantSplit/>
        </w:trPr>
        <w:tc>
          <w:tcPr>
            <w:tcW w:w="2972" w:type="dxa"/>
            <w:vAlign w:val="center"/>
          </w:tcPr>
          <w:p w:rsidR="00D076F0" w:rsidRDefault="002749EF">
            <w:r>
              <w:t>Public shares</w:t>
            </w:r>
          </w:p>
        </w:tc>
        <w:tc>
          <w:tcPr>
            <w:tcW w:w="242" w:type="dxa"/>
            <w:vAlign w:val="center"/>
          </w:tcPr>
          <w:p w:rsidR="00D076F0" w:rsidRDefault="00D076F0"/>
        </w:tc>
        <w:tc>
          <w:tcPr>
            <w:tcW w:w="1238" w:type="dxa"/>
            <w:vAlign w:val="center"/>
          </w:tcPr>
          <w:p w:rsidR="00D076F0" w:rsidRDefault="002749EF">
            <w:pPr>
              <w:jc w:val="right"/>
            </w:pPr>
            <w:r>
              <w:t>11,025</w:t>
            </w:r>
          </w:p>
        </w:tc>
        <w:tc>
          <w:tcPr>
            <w:tcW w:w="236" w:type="dxa"/>
            <w:vAlign w:val="center"/>
          </w:tcPr>
          <w:p w:rsidR="00D076F0" w:rsidRDefault="00D076F0">
            <w:pPr>
              <w:jc w:val="right"/>
            </w:pPr>
          </w:p>
        </w:tc>
        <w:tc>
          <w:tcPr>
            <w:tcW w:w="991" w:type="dxa"/>
            <w:vAlign w:val="center"/>
          </w:tcPr>
          <w:p w:rsidR="00D076F0" w:rsidRDefault="002749EF">
            <w:pPr>
              <w:jc w:val="right"/>
            </w:pPr>
            <w:r>
              <w:t>20.0</w:t>
            </w:r>
          </w:p>
        </w:tc>
        <w:tc>
          <w:tcPr>
            <w:tcW w:w="263" w:type="dxa"/>
          </w:tcPr>
          <w:p w:rsidR="00D076F0" w:rsidRDefault="00D076F0"/>
        </w:tc>
        <w:tc>
          <w:tcPr>
            <w:tcW w:w="991" w:type="dxa"/>
          </w:tcPr>
          <w:p w:rsidR="00D076F0" w:rsidRDefault="00D076F0">
            <w:pPr>
              <w:jc w:val="right"/>
            </w:pPr>
          </w:p>
        </w:tc>
        <w:tc>
          <w:tcPr>
            <w:tcW w:w="269" w:type="dxa"/>
          </w:tcPr>
          <w:p w:rsidR="00D076F0" w:rsidRDefault="00D076F0">
            <w:pPr>
              <w:jc w:val="right"/>
            </w:pPr>
          </w:p>
        </w:tc>
        <w:tc>
          <w:tcPr>
            <w:tcW w:w="991" w:type="dxa"/>
          </w:tcPr>
          <w:p w:rsidR="00D076F0" w:rsidRDefault="00D076F0">
            <w:pPr>
              <w:jc w:val="right"/>
            </w:pPr>
          </w:p>
        </w:tc>
      </w:tr>
      <w:tr w:rsidR="00D076F0">
        <w:trPr>
          <w:cantSplit/>
        </w:trPr>
        <w:tc>
          <w:tcPr>
            <w:tcW w:w="2972" w:type="dxa"/>
            <w:vAlign w:val="center"/>
          </w:tcPr>
          <w:p w:rsidR="00D076F0" w:rsidRDefault="002749EF">
            <w:r>
              <w:t>Others</w:t>
            </w:r>
          </w:p>
        </w:tc>
        <w:tc>
          <w:tcPr>
            <w:tcW w:w="242" w:type="dxa"/>
            <w:vAlign w:val="center"/>
          </w:tcPr>
          <w:p w:rsidR="00D076F0" w:rsidRDefault="00D076F0"/>
        </w:tc>
        <w:tc>
          <w:tcPr>
            <w:tcW w:w="1238" w:type="dxa"/>
            <w:vAlign w:val="center"/>
          </w:tcPr>
          <w:p w:rsidR="00D076F0" w:rsidRDefault="002749EF">
            <w:pPr>
              <w:jc w:val="right"/>
            </w:pPr>
            <w:r>
              <w:t>730</w:t>
            </w:r>
          </w:p>
        </w:tc>
        <w:tc>
          <w:tcPr>
            <w:tcW w:w="236" w:type="dxa"/>
            <w:vAlign w:val="center"/>
          </w:tcPr>
          <w:p w:rsidR="00D076F0" w:rsidRDefault="00D076F0">
            <w:pPr>
              <w:jc w:val="right"/>
            </w:pPr>
          </w:p>
        </w:tc>
        <w:tc>
          <w:tcPr>
            <w:tcW w:w="991" w:type="dxa"/>
            <w:vAlign w:val="center"/>
          </w:tcPr>
          <w:p w:rsidR="00D076F0" w:rsidRDefault="002749EF">
            <w:pPr>
              <w:jc w:val="right"/>
            </w:pPr>
            <w:r>
              <w:t>1.3</w:t>
            </w:r>
          </w:p>
        </w:tc>
        <w:tc>
          <w:tcPr>
            <w:tcW w:w="263" w:type="dxa"/>
          </w:tcPr>
          <w:p w:rsidR="00D076F0" w:rsidRDefault="00D076F0"/>
        </w:tc>
        <w:tc>
          <w:tcPr>
            <w:tcW w:w="991" w:type="dxa"/>
          </w:tcPr>
          <w:p w:rsidR="00D076F0" w:rsidRDefault="00D076F0">
            <w:pPr>
              <w:jc w:val="right"/>
            </w:pPr>
          </w:p>
        </w:tc>
        <w:tc>
          <w:tcPr>
            <w:tcW w:w="269" w:type="dxa"/>
          </w:tcPr>
          <w:p w:rsidR="00D076F0" w:rsidRDefault="00D076F0">
            <w:pPr>
              <w:jc w:val="right"/>
            </w:pPr>
          </w:p>
        </w:tc>
        <w:tc>
          <w:tcPr>
            <w:tcW w:w="991" w:type="dxa"/>
          </w:tcPr>
          <w:p w:rsidR="00D076F0" w:rsidRDefault="00D076F0">
            <w:pPr>
              <w:jc w:val="right"/>
            </w:pPr>
          </w:p>
        </w:tc>
      </w:tr>
      <w:tr w:rsidR="00D076F0">
        <w:trPr>
          <w:cantSplit/>
        </w:trPr>
        <w:tc>
          <w:tcPr>
            <w:tcW w:w="2972" w:type="dxa"/>
            <w:vAlign w:val="center"/>
          </w:tcPr>
          <w:p w:rsidR="00D076F0" w:rsidRDefault="00D076F0"/>
        </w:tc>
        <w:tc>
          <w:tcPr>
            <w:tcW w:w="242" w:type="dxa"/>
            <w:vAlign w:val="center"/>
          </w:tcPr>
          <w:p w:rsidR="00D076F0" w:rsidRDefault="00D076F0"/>
        </w:tc>
        <w:tc>
          <w:tcPr>
            <w:tcW w:w="1238" w:type="dxa"/>
            <w:tcBorders>
              <w:top w:val="single" w:sz="6" w:space="0" w:color="auto"/>
              <w:bottom w:val="double" w:sz="6" w:space="0" w:color="auto"/>
            </w:tcBorders>
            <w:vAlign w:val="center"/>
          </w:tcPr>
          <w:p w:rsidR="00D076F0" w:rsidRDefault="002749EF">
            <w:pPr>
              <w:jc w:val="right"/>
            </w:pPr>
            <w:r>
              <w:t>55,125</w:t>
            </w:r>
          </w:p>
        </w:tc>
        <w:tc>
          <w:tcPr>
            <w:tcW w:w="236" w:type="dxa"/>
            <w:vAlign w:val="center"/>
          </w:tcPr>
          <w:p w:rsidR="00D076F0" w:rsidRDefault="00D076F0">
            <w:pPr>
              <w:jc w:val="right"/>
            </w:pPr>
          </w:p>
        </w:tc>
        <w:tc>
          <w:tcPr>
            <w:tcW w:w="991" w:type="dxa"/>
            <w:tcBorders>
              <w:top w:val="single" w:sz="6" w:space="0" w:color="auto"/>
              <w:bottom w:val="double" w:sz="6" w:space="0" w:color="auto"/>
            </w:tcBorders>
            <w:vAlign w:val="center"/>
          </w:tcPr>
          <w:p w:rsidR="00D076F0" w:rsidRDefault="002749EF">
            <w:pPr>
              <w:jc w:val="right"/>
            </w:pPr>
            <w:r>
              <w:t>100.0</w:t>
            </w:r>
          </w:p>
        </w:tc>
        <w:tc>
          <w:tcPr>
            <w:tcW w:w="263" w:type="dxa"/>
          </w:tcPr>
          <w:p w:rsidR="00D076F0" w:rsidRDefault="00D076F0"/>
        </w:tc>
        <w:tc>
          <w:tcPr>
            <w:tcW w:w="991" w:type="dxa"/>
          </w:tcPr>
          <w:p w:rsidR="00D076F0" w:rsidRDefault="00D076F0">
            <w:pPr>
              <w:jc w:val="right"/>
            </w:pPr>
          </w:p>
        </w:tc>
        <w:tc>
          <w:tcPr>
            <w:tcW w:w="269" w:type="dxa"/>
          </w:tcPr>
          <w:p w:rsidR="00D076F0" w:rsidRDefault="00D076F0">
            <w:pPr>
              <w:jc w:val="right"/>
            </w:pPr>
          </w:p>
        </w:tc>
        <w:tc>
          <w:tcPr>
            <w:tcW w:w="991" w:type="dxa"/>
          </w:tcPr>
          <w:p w:rsidR="00D076F0" w:rsidRDefault="00D076F0">
            <w:pPr>
              <w:jc w:val="right"/>
            </w:pPr>
          </w:p>
        </w:tc>
      </w:tr>
    </w:tbl>
    <w:p w:rsidR="00D076F0" w:rsidRDefault="00D076F0">
      <w:pPr>
        <w:pStyle w:val="BodyText"/>
        <w:tabs>
          <w:tab w:val="left" w:pos="7200"/>
          <w:tab w:val="left" w:pos="8496"/>
        </w:tabs>
        <w:ind w:left="540" w:hanging="540"/>
        <w:jc w:val="both"/>
        <w:rPr>
          <w:sz w:val="20"/>
        </w:rPr>
      </w:pPr>
    </w:p>
    <w:p w:rsidR="00D076F0" w:rsidRDefault="002749EF">
      <w:pPr>
        <w:pStyle w:val="BodyText"/>
        <w:tabs>
          <w:tab w:val="left" w:pos="7200"/>
          <w:tab w:val="left" w:pos="8496"/>
        </w:tabs>
        <w:ind w:left="540" w:hanging="540"/>
        <w:jc w:val="both"/>
        <w:rPr>
          <w:sz w:val="20"/>
        </w:rPr>
      </w:pPr>
      <w:r>
        <w:rPr>
          <w:sz w:val="20"/>
        </w:rPr>
        <w:t>(*) Representing statutory historical paid-in share capital.</w:t>
      </w:r>
    </w:p>
    <w:p w:rsidR="00D076F0" w:rsidRDefault="00D076F0">
      <w:pPr>
        <w:pStyle w:val="BodyText"/>
        <w:tabs>
          <w:tab w:val="left" w:pos="7200"/>
          <w:tab w:val="left" w:pos="8496"/>
        </w:tabs>
        <w:ind w:left="540" w:hanging="540"/>
        <w:jc w:val="both"/>
      </w:pPr>
    </w:p>
    <w:p w:rsidR="00D076F0" w:rsidRDefault="002749EF">
      <w:pPr>
        <w:tabs>
          <w:tab w:val="left" w:pos="432"/>
          <w:tab w:val="left" w:pos="864"/>
          <w:tab w:val="left" w:pos="1152"/>
        </w:tabs>
        <w:ind w:right="14"/>
        <w:jc w:val="both"/>
      </w:pPr>
      <w:r>
        <w:t xml:space="preserve">As of June 30, 2002, the shareholding structure of the Bank and Subsidiaries are </w:t>
      </w:r>
      <w:r>
        <w:t>shown in Appendix 1.</w:t>
      </w:r>
    </w:p>
    <w:p w:rsidR="00D076F0" w:rsidRDefault="00D076F0">
      <w:pPr>
        <w:tabs>
          <w:tab w:val="left" w:pos="1584"/>
          <w:tab w:val="left" w:pos="7200"/>
          <w:tab w:val="left" w:pos="8496"/>
        </w:tabs>
        <w:ind w:right="14"/>
      </w:pPr>
    </w:p>
    <w:p w:rsidR="00D076F0" w:rsidRDefault="00D076F0">
      <w:pPr>
        <w:tabs>
          <w:tab w:val="left" w:pos="1584"/>
          <w:tab w:val="left" w:pos="7200"/>
          <w:tab w:val="left" w:pos="8496"/>
        </w:tabs>
        <w:ind w:right="14"/>
      </w:pPr>
    </w:p>
    <w:p w:rsidR="00D076F0" w:rsidRDefault="002749EF">
      <w:pPr>
        <w:tabs>
          <w:tab w:val="left" w:pos="1584"/>
          <w:tab w:val="left" w:pos="7200"/>
          <w:tab w:val="left" w:pos="8496"/>
        </w:tabs>
        <w:ind w:right="14"/>
        <w:rPr>
          <w:b/>
          <w:u w:val="single"/>
        </w:rPr>
      </w:pPr>
      <w:r>
        <w:rPr>
          <w:b/>
          <w:u w:val="single"/>
        </w:rPr>
        <w:t>(20) SUBSEQUENT EVENTS:</w:t>
      </w:r>
    </w:p>
    <w:p w:rsidR="00D076F0" w:rsidRDefault="00D076F0">
      <w:pPr>
        <w:tabs>
          <w:tab w:val="left" w:pos="1584"/>
          <w:tab w:val="left" w:pos="7200"/>
          <w:tab w:val="left" w:pos="8496"/>
        </w:tabs>
        <w:ind w:right="14"/>
        <w:jc w:val="both"/>
      </w:pPr>
    </w:p>
    <w:p w:rsidR="00D076F0" w:rsidRDefault="002749EF">
      <w:pPr>
        <w:tabs>
          <w:tab w:val="left" w:pos="1584"/>
          <w:tab w:val="left" w:pos="7200"/>
          <w:tab w:val="left" w:pos="8496"/>
        </w:tabs>
        <w:ind w:right="14"/>
        <w:jc w:val="both"/>
      </w:pPr>
      <w:r>
        <w:t xml:space="preserve">Effective July 1, 2002, the retirement pay ceiling has been increased to TL1,160 million. </w:t>
      </w:r>
    </w:p>
    <w:p w:rsidR="00D076F0" w:rsidRDefault="00D076F0">
      <w:pPr>
        <w:tabs>
          <w:tab w:val="left" w:pos="1584"/>
          <w:tab w:val="left" w:pos="7200"/>
          <w:tab w:val="left" w:pos="8496"/>
        </w:tabs>
        <w:ind w:right="14"/>
        <w:jc w:val="both"/>
      </w:pPr>
    </w:p>
    <w:p w:rsidR="00D076F0" w:rsidRDefault="002749EF">
      <w:pPr>
        <w:tabs>
          <w:tab w:val="left" w:pos="1584"/>
          <w:tab w:val="left" w:pos="7200"/>
          <w:tab w:val="left" w:pos="8496"/>
        </w:tabs>
        <w:ind w:right="14"/>
        <w:jc w:val="both"/>
      </w:pPr>
      <w:r>
        <w:t>The Bank rescheduled TL 4,604 of its loans on June 2002.</w:t>
      </w:r>
    </w:p>
    <w:p w:rsidR="00D076F0" w:rsidRDefault="00D076F0">
      <w:pPr>
        <w:tabs>
          <w:tab w:val="left" w:pos="1584"/>
          <w:tab w:val="left" w:pos="7200"/>
          <w:tab w:val="left" w:pos="8496"/>
        </w:tabs>
        <w:ind w:right="14"/>
        <w:jc w:val="both"/>
      </w:pPr>
    </w:p>
    <w:p w:rsidR="00D076F0" w:rsidRDefault="002749EF">
      <w:pPr>
        <w:tabs>
          <w:tab w:val="left" w:pos="1584"/>
          <w:tab w:val="left" w:pos="7200"/>
          <w:tab w:val="left" w:pos="8496"/>
        </w:tabs>
        <w:ind w:right="14"/>
        <w:jc w:val="both"/>
      </w:pPr>
      <w:r>
        <w:t>The Bank has signed an agreement with The International Fi</w:t>
      </w:r>
      <w:r>
        <w:t>nance Corporation (IFC) on July 17, 2002, to receive a US$85 million financing facility . The facility consists of three separate loans. The first loan is a US$15 million, 7 year term, subordinated convertible loan, matching  BRSA’s Tier II Capital definit</w:t>
      </w:r>
      <w:r>
        <w:t>ions as well as contributing The Bank’s capital adequacy ratio in a positive manner. The second loan is a US$20 million medium-term loan facility to be lent as working capital, investment or export pre-finance needs to TEB’ clients with a 3 month to 5 year</w:t>
      </w:r>
      <w:r>
        <w:t xml:space="preserve"> maturity from IFC’s own account. The third part allows for the syndication of up to US$50 million from private commercial banks as and when markets recover. Such financing will be obtained when the Bank observes international financing conditions that are</w:t>
      </w:r>
      <w:r>
        <w:t xml:space="preserve"> acceptable, customers demanded and the maturity and cost of financing to be determined in terms of market conditions at that time and to be granted to customers parallel with the maturity of financing similar with the second loan part of financing facilit</w:t>
      </w:r>
      <w:r>
        <w:t>y.</w:t>
      </w:r>
    </w:p>
    <w:p w:rsidR="00D076F0" w:rsidRDefault="002749EF">
      <w:pPr>
        <w:tabs>
          <w:tab w:val="left" w:pos="1584"/>
          <w:tab w:val="left" w:pos="7200"/>
          <w:tab w:val="left" w:pos="8496"/>
        </w:tabs>
        <w:ind w:right="14"/>
      </w:pPr>
      <w:r>
        <w:br w:type="page"/>
      </w:r>
    </w:p>
    <w:p w:rsidR="00D076F0" w:rsidRDefault="00D076F0">
      <w:pPr>
        <w:tabs>
          <w:tab w:val="left" w:pos="1584"/>
          <w:tab w:val="left" w:pos="7200"/>
          <w:tab w:val="left" w:pos="8496"/>
        </w:tabs>
        <w:ind w:right="14"/>
      </w:pPr>
    </w:p>
    <w:p w:rsidR="00D076F0" w:rsidRDefault="002749EF">
      <w:pPr>
        <w:tabs>
          <w:tab w:val="left" w:pos="1584"/>
          <w:tab w:val="left" w:pos="7200"/>
          <w:tab w:val="left" w:pos="8496"/>
        </w:tabs>
        <w:ind w:right="14"/>
        <w:jc w:val="center"/>
      </w:pPr>
      <w:r>
        <w:t>-13-</w:t>
      </w:r>
    </w:p>
    <w:p w:rsidR="00D076F0" w:rsidRDefault="00D076F0">
      <w:pPr>
        <w:tabs>
          <w:tab w:val="left" w:pos="1584"/>
          <w:tab w:val="left" w:pos="7200"/>
          <w:tab w:val="left" w:pos="8496"/>
        </w:tabs>
        <w:ind w:right="14"/>
      </w:pPr>
    </w:p>
    <w:p w:rsidR="00D076F0" w:rsidRDefault="002749EF">
      <w:pPr>
        <w:tabs>
          <w:tab w:val="left" w:pos="576"/>
          <w:tab w:val="left" w:pos="864"/>
          <w:tab w:val="left" w:pos="1584"/>
          <w:tab w:val="left" w:pos="2016"/>
          <w:tab w:val="left" w:pos="4032"/>
        </w:tabs>
        <w:ind w:right="14"/>
        <w:jc w:val="center"/>
      </w:pPr>
      <w:r>
        <w:t>(CONVENIENCE TRANSLATION OF A REPORT AND FINANCIAL STATEMENTS ORIGINALLY ISSUED IN TURKISH – SEE NOTE 9)</w:t>
      </w:r>
    </w:p>
    <w:p w:rsidR="00D076F0" w:rsidRDefault="00D076F0">
      <w:pPr>
        <w:tabs>
          <w:tab w:val="left" w:pos="1584"/>
          <w:tab w:val="left" w:pos="7200"/>
          <w:tab w:val="left" w:pos="8496"/>
        </w:tabs>
        <w:ind w:right="14"/>
      </w:pPr>
    </w:p>
    <w:p w:rsidR="00D076F0" w:rsidRDefault="00D076F0">
      <w:pPr>
        <w:tabs>
          <w:tab w:val="left" w:pos="1584"/>
          <w:tab w:val="left" w:pos="7200"/>
          <w:tab w:val="left" w:pos="8496"/>
        </w:tabs>
        <w:ind w:right="14"/>
        <w:jc w:val="both"/>
      </w:pPr>
    </w:p>
    <w:p w:rsidR="00D076F0" w:rsidRDefault="002749EF">
      <w:pPr>
        <w:tabs>
          <w:tab w:val="left" w:pos="1584"/>
          <w:tab w:val="left" w:pos="7200"/>
          <w:tab w:val="left" w:pos="8496"/>
        </w:tabs>
        <w:ind w:right="14"/>
        <w:rPr>
          <w:b/>
          <w:u w:val="single"/>
        </w:rPr>
      </w:pPr>
      <w:r>
        <w:rPr>
          <w:b/>
          <w:u w:val="single"/>
        </w:rPr>
        <w:t>(21) OTHERS:</w:t>
      </w:r>
    </w:p>
    <w:p w:rsidR="00D076F0" w:rsidRDefault="00D076F0">
      <w:pPr>
        <w:tabs>
          <w:tab w:val="left" w:pos="1584"/>
          <w:tab w:val="left" w:pos="7200"/>
          <w:tab w:val="left" w:pos="8496"/>
        </w:tabs>
        <w:ind w:right="14"/>
        <w:jc w:val="both"/>
      </w:pPr>
    </w:p>
    <w:p w:rsidR="00D076F0" w:rsidRDefault="002749EF">
      <w:pPr>
        <w:tabs>
          <w:tab w:val="left" w:pos="1584"/>
          <w:tab w:val="left" w:pos="7200"/>
          <w:tab w:val="left" w:pos="8496"/>
        </w:tabs>
        <w:ind w:right="14"/>
        <w:jc w:val="both"/>
      </w:pPr>
      <w:r>
        <w:t>According to the special audit results performed in line with the Bankin</w:t>
      </w:r>
      <w:r>
        <w:t xml:space="preserve">g Law 4389 as revised by Law no.4743 Article 4th which was announced on the Official Gazette dated 01.02.2002, Banking Regulation and Supervision Agency has announced with its letter dated 12.06.2002  that  the Bank does not require any additional capital </w:t>
      </w:r>
      <w:r>
        <w:t>injection.</w:t>
      </w:r>
    </w:p>
    <w:p w:rsidR="00D076F0" w:rsidRDefault="00D076F0">
      <w:pPr>
        <w:tabs>
          <w:tab w:val="left" w:pos="1584"/>
          <w:tab w:val="left" w:pos="7200"/>
          <w:tab w:val="left" w:pos="8496"/>
        </w:tabs>
        <w:ind w:right="14"/>
        <w:jc w:val="both"/>
      </w:pPr>
    </w:p>
    <w:p w:rsidR="00D076F0" w:rsidRDefault="002749EF">
      <w:pPr>
        <w:tabs>
          <w:tab w:val="left" w:pos="1584"/>
          <w:tab w:val="left" w:pos="7200"/>
          <w:tab w:val="left" w:pos="8496"/>
        </w:tabs>
        <w:ind w:right="14"/>
        <w:jc w:val="both"/>
      </w:pPr>
      <w:r>
        <w:t>As announced in the Official Gazette with no.24791 dated 20.06.2002, the Bank prepared its financial statements as of June 30, 2002 in line with the International Accounting Standard 29  (IAS 29) reflecting the restatement for the changes in th</w:t>
      </w:r>
      <w:r>
        <w:t>e general purchasing power of the Turkish lira and the accompanying financial statements are not presented comparatively.</w:t>
      </w:r>
    </w:p>
    <w:p w:rsidR="00D076F0" w:rsidRDefault="00D076F0">
      <w:pPr>
        <w:tabs>
          <w:tab w:val="left" w:pos="1584"/>
          <w:tab w:val="left" w:pos="7200"/>
          <w:tab w:val="left" w:pos="8496"/>
        </w:tabs>
        <w:ind w:right="14"/>
        <w:jc w:val="both"/>
      </w:pPr>
    </w:p>
    <w:p w:rsidR="00D076F0" w:rsidRDefault="002749EF">
      <w:pPr>
        <w:tabs>
          <w:tab w:val="left" w:pos="1584"/>
          <w:tab w:val="left" w:pos="7200"/>
          <w:tab w:val="left" w:pos="8496"/>
        </w:tabs>
        <w:ind w:right="14"/>
        <w:jc w:val="both"/>
      </w:pPr>
      <w:r>
        <w:t>The adjusted financial statements of financial subsidiaries, reflecting the restatement for the changes in the monetary unit current,</w:t>
      </w:r>
      <w:r>
        <w:t xml:space="preserve"> required by the communiqué of “Special Independent Audit Basics and Procedures by the Banking Law 4389 temporary article 4th”, were taken into consolidation.</w:t>
      </w:r>
    </w:p>
    <w:p w:rsidR="00D076F0" w:rsidRDefault="00D076F0">
      <w:pPr>
        <w:tabs>
          <w:tab w:val="left" w:pos="1584"/>
          <w:tab w:val="left" w:pos="7200"/>
          <w:tab w:val="left" w:pos="8496"/>
        </w:tabs>
        <w:ind w:right="14"/>
        <w:jc w:val="both"/>
      </w:pPr>
    </w:p>
    <w:p w:rsidR="00D076F0" w:rsidRDefault="002749EF">
      <w:pPr>
        <w:tabs>
          <w:tab w:val="center" w:pos="450"/>
        </w:tabs>
        <w:ind w:right="14"/>
        <w:jc w:val="both"/>
      </w:pPr>
      <w:r>
        <w:rPr>
          <w:lang w:val="tr-TR"/>
        </w:rPr>
        <w:t>Since February 2001, Turkey has continued to experience reduced economic activity and high volat</w:t>
      </w:r>
      <w:r>
        <w:rPr>
          <w:lang w:val="tr-TR"/>
        </w:rPr>
        <w:t>ility in foreign exchange rates, money and capital markets. The economic program initiated by the Turkish Government in May 2001, which includes various regulatory changes to create a well-developed business and regulatory infrastructure, is still in progr</w:t>
      </w:r>
      <w:r>
        <w:rPr>
          <w:lang w:val="tr-TR"/>
        </w:rPr>
        <w:t>ess.</w:t>
      </w:r>
    </w:p>
    <w:p w:rsidR="00D076F0" w:rsidRDefault="00D076F0">
      <w:pPr>
        <w:tabs>
          <w:tab w:val="left" w:pos="1584"/>
          <w:tab w:val="left" w:pos="7200"/>
          <w:tab w:val="left" w:pos="8496"/>
        </w:tabs>
        <w:ind w:right="14"/>
        <w:jc w:val="both"/>
      </w:pPr>
    </w:p>
    <w:sectPr w:rsidR="00D076F0">
      <w:headerReference w:type="default" r:id="rId11"/>
      <w:footerReference w:type="first" r:id="rId12"/>
      <w:pgSz w:w="11894" w:h="16834" w:code="9"/>
      <w:pgMar w:top="720" w:right="1440" w:bottom="720" w:left="1440" w:header="708" w:footer="708"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6F0" w:rsidRDefault="00320D9F">
      <w:r>
        <w:separator/>
      </w:r>
    </w:p>
  </w:endnote>
  <w:endnote w:type="continuationSeparator" w:id="0">
    <w:p w:rsidR="00D076F0" w:rsidRDefault="00320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2"/>
    <w:family w:val="roman"/>
    <w:pitch w:val="variable"/>
    <w:sig w:usb0="00000287" w:usb1="00000000" w:usb2="00000000" w:usb3="00000000" w:csb0="0000009F" w:csb1="00000000"/>
  </w:font>
  <w:font w:name="AA Normal">
    <w:altName w:val="Courier New"/>
    <w:panose1 w:val="00000000000000000000"/>
    <w:charset w:val="00"/>
    <w:family w:val="modern"/>
    <w:notTrueType/>
    <w:pitch w:val="fixed"/>
    <w:sig w:usb0="00000003" w:usb1="00000000" w:usb2="00000000" w:usb3="00000000" w:csb0="00000001" w:csb1="00000000"/>
  </w:font>
  <w:font w:name="Arial MT">
    <w:altName w:val="Times New Roman"/>
    <w:panose1 w:val="00000000000000000000"/>
    <w:charset w:val="FF"/>
    <w:family w:val="roman"/>
    <w:notTrueType/>
    <w:pitch w:val="variable"/>
    <w:sig w:usb0="00000003" w:usb1="00000000" w:usb2="00000000" w:usb3="00000000" w:csb0="00000000" w:csb1="00000000"/>
  </w:font>
  <w:font w:name="Arial TUR">
    <w:panose1 w:val="020B0604020202020204"/>
    <w:charset w:val="A2"/>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6F0" w:rsidRDefault="00D076F0">
    <w:pPr>
      <w:pStyle w:val="Footer"/>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6F0" w:rsidRDefault="00320D9F">
      <w:r>
        <w:separator/>
      </w:r>
    </w:p>
  </w:footnote>
  <w:footnote w:type="continuationSeparator" w:id="0">
    <w:p w:rsidR="00D076F0" w:rsidRDefault="00320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6F0" w:rsidRDefault="00D076F0">
    <w:pPr>
      <w:pStyle w:val="Head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A3C11"/>
    <w:multiLevelType w:val="singleLevel"/>
    <w:tmpl w:val="31BE9F50"/>
    <w:lvl w:ilvl="0">
      <w:start w:val="68"/>
      <w:numFmt w:val="bullet"/>
      <w:lvlText w:val="-"/>
      <w:lvlJc w:val="left"/>
      <w:pPr>
        <w:tabs>
          <w:tab w:val="num" w:pos="360"/>
        </w:tabs>
        <w:ind w:left="360" w:hanging="360"/>
      </w:pPr>
      <w:rPr>
        <w:rFonts w:ascii="Times New Roman" w:hAnsi="Times New Roman"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20"/>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D9F"/>
    <w:rsid w:val="002749EF"/>
    <w:rsid w:val="00320D9F"/>
    <w:rsid w:val="00D076F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val="en-US" w:eastAsia="en-US"/>
    </w:rPr>
  </w:style>
  <w:style w:type="paragraph" w:styleId="Heading1">
    <w:name w:val="heading 1"/>
    <w:basedOn w:val="Normal"/>
    <w:next w:val="Normal"/>
    <w:qFormat/>
    <w:pPr>
      <w:keepNext/>
      <w:tabs>
        <w:tab w:val="left" w:pos="6192"/>
        <w:tab w:val="left" w:pos="7488"/>
        <w:tab w:val="left" w:pos="8784"/>
      </w:tabs>
      <w:outlineLvl w:val="0"/>
    </w:pPr>
    <w:rPr>
      <w:u w:val="single"/>
    </w:rPr>
  </w:style>
  <w:style w:type="paragraph" w:styleId="Heading2">
    <w:name w:val="heading 2"/>
    <w:basedOn w:val="Normal"/>
    <w:next w:val="Normal"/>
    <w:qFormat/>
    <w:pPr>
      <w:keepNext/>
      <w:tabs>
        <w:tab w:val="left" w:pos="720"/>
        <w:tab w:val="left" w:pos="1584"/>
        <w:tab w:val="left" w:pos="6192"/>
        <w:tab w:val="left" w:pos="7488"/>
        <w:tab w:val="left" w:pos="8784"/>
      </w:tabs>
      <w:ind w:left="540"/>
      <w:outlineLvl w:val="1"/>
    </w:pPr>
    <w:rPr>
      <w:u w:val="single"/>
    </w:rPr>
  </w:style>
  <w:style w:type="paragraph" w:styleId="Heading3">
    <w:name w:val="heading 3"/>
    <w:basedOn w:val="Normal"/>
    <w:next w:val="Normal"/>
    <w:qFormat/>
    <w:pPr>
      <w:keepNext/>
      <w:tabs>
        <w:tab w:val="left" w:pos="1584"/>
        <w:tab w:val="left" w:pos="6192"/>
        <w:tab w:val="left" w:pos="7488"/>
        <w:tab w:val="left" w:pos="8784"/>
      </w:tabs>
      <w:ind w:left="1080"/>
      <w:outlineLvl w:val="2"/>
    </w:pPr>
    <w:rPr>
      <w:u w:val="single"/>
    </w:rPr>
  </w:style>
  <w:style w:type="paragraph" w:styleId="Heading4">
    <w:name w:val="heading 4"/>
    <w:basedOn w:val="Normal"/>
    <w:next w:val="Normal"/>
    <w:qFormat/>
    <w:pPr>
      <w:keepNext/>
      <w:tabs>
        <w:tab w:val="left" w:pos="864"/>
        <w:tab w:val="left" w:pos="1584"/>
        <w:tab w:val="left" w:pos="6048"/>
        <w:tab w:val="left" w:pos="7920"/>
      </w:tabs>
      <w:outlineLvl w:val="3"/>
    </w:pPr>
    <w:rPr>
      <w:b/>
      <w:sz w:val="36"/>
    </w:rPr>
  </w:style>
  <w:style w:type="paragraph" w:styleId="Heading5">
    <w:name w:val="heading 5"/>
    <w:basedOn w:val="Normal"/>
    <w:next w:val="Normal"/>
    <w:qFormat/>
    <w:pPr>
      <w:keepNext/>
      <w:tabs>
        <w:tab w:val="right" w:pos="7200"/>
        <w:tab w:val="right" w:pos="8640"/>
      </w:tabs>
      <w:ind w:left="360" w:hanging="360"/>
      <w:outlineLvl w:val="4"/>
    </w:pPr>
    <w:rPr>
      <w:b/>
    </w:rPr>
  </w:style>
  <w:style w:type="paragraph" w:styleId="Heading6">
    <w:name w:val="heading 6"/>
    <w:basedOn w:val="Normal"/>
    <w:next w:val="Normal"/>
    <w:qFormat/>
    <w:pPr>
      <w:keepNext/>
      <w:outlineLvl w:val="5"/>
    </w:pPr>
    <w:rPr>
      <w:b/>
      <w:sz w:val="18"/>
      <w:u w:val="single"/>
    </w:rPr>
  </w:style>
  <w:style w:type="paragraph" w:styleId="Heading7">
    <w:name w:val="heading 7"/>
    <w:basedOn w:val="Normal"/>
    <w:next w:val="Normal"/>
    <w:qFormat/>
    <w:pPr>
      <w:keepNext/>
      <w:ind w:left="252" w:hanging="252"/>
      <w:outlineLvl w:val="6"/>
    </w:pPr>
    <w:rPr>
      <w:u w:val="single"/>
    </w:rPr>
  </w:style>
  <w:style w:type="paragraph" w:styleId="Heading8">
    <w:name w:val="heading 8"/>
    <w:basedOn w:val="Normal"/>
    <w:next w:val="Normal"/>
    <w:qFormat/>
    <w:pPr>
      <w:keepNext/>
      <w:ind w:left="162" w:hanging="162"/>
      <w:outlineLvl w:val="7"/>
    </w:pPr>
    <w:rPr>
      <w:i/>
      <w:u w:val="single"/>
    </w:rPr>
  </w:style>
  <w:style w:type="paragraph" w:styleId="Heading9">
    <w:name w:val="heading 9"/>
    <w:basedOn w:val="Normal"/>
    <w:next w:val="Normal"/>
    <w:qFormat/>
    <w:pPr>
      <w:keepNext/>
      <w:tabs>
        <w:tab w:val="right" w:pos="5760"/>
        <w:tab w:val="right" w:pos="7200"/>
      </w:tabs>
      <w:outlineLvl w:val="8"/>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720"/>
        <w:tab w:val="left" w:pos="1584"/>
        <w:tab w:val="left" w:pos="5616"/>
        <w:tab w:val="left" w:pos="7920"/>
      </w:tabs>
      <w:ind w:right="-166"/>
    </w:pPr>
  </w:style>
  <w:style w:type="paragraph" w:styleId="BodyText2">
    <w:name w:val="Body Text 2"/>
    <w:basedOn w:val="Normal"/>
    <w:semiHidden/>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both"/>
    </w:pPr>
    <w:rPr>
      <w:spacing w:val="-2"/>
    </w:rPr>
  </w:style>
  <w:style w:type="paragraph" w:styleId="BodyText3">
    <w:name w:val="Body Text 3"/>
    <w:basedOn w:val="Normal"/>
    <w:semiHidden/>
    <w:pPr>
      <w:tabs>
        <w:tab w:val="left" w:pos="720"/>
        <w:tab w:val="left" w:pos="1584"/>
        <w:tab w:val="left" w:pos="6192"/>
        <w:tab w:val="left" w:pos="7488"/>
        <w:tab w:val="left" w:pos="8784"/>
      </w:tabs>
      <w:ind w:right="-1336"/>
    </w:pPr>
  </w:style>
  <w:style w:type="paragraph" w:styleId="BodyTextIndent">
    <w:name w:val="Body Text Indent"/>
    <w:basedOn w:val="Normal"/>
    <w:semiHidden/>
    <w:pPr>
      <w:tabs>
        <w:tab w:val="right" w:pos="5760"/>
        <w:tab w:val="right" w:pos="7200"/>
      </w:tabs>
      <w:ind w:left="360" w:hanging="360"/>
    </w:pPr>
  </w:style>
  <w:style w:type="paragraph" w:styleId="BlockText">
    <w:name w:val="Block Text"/>
    <w:basedOn w:val="Normal"/>
    <w:semiHidden/>
    <w:pPr>
      <w:tabs>
        <w:tab w:val="left" w:pos="6912"/>
        <w:tab w:val="right" w:pos="7200"/>
        <w:tab w:val="left" w:pos="8064"/>
        <w:tab w:val="right" w:pos="8640"/>
      </w:tabs>
      <w:ind w:left="360" w:right="-76" w:hanging="360"/>
    </w:pPr>
  </w:style>
  <w:style w:type="paragraph" w:styleId="BodyTextIndent2">
    <w:name w:val="Body Text Indent 2"/>
    <w:basedOn w:val="Normal"/>
    <w:semiHidden/>
    <w:pPr>
      <w:tabs>
        <w:tab w:val="left" w:pos="3456"/>
        <w:tab w:val="left" w:pos="4176"/>
        <w:tab w:val="left" w:pos="4608"/>
      </w:tabs>
      <w:ind w:left="540" w:hanging="540"/>
    </w:pPr>
  </w:style>
  <w:style w:type="paragraph" w:styleId="BodyTextIndent3">
    <w:name w:val="Body Text Indent 3"/>
    <w:basedOn w:val="Normal"/>
    <w:semiHidden/>
    <w:pPr>
      <w:tabs>
        <w:tab w:val="left" w:pos="3456"/>
        <w:tab w:val="left" w:pos="4176"/>
        <w:tab w:val="left" w:pos="4608"/>
      </w:tabs>
      <w:ind w:left="900" w:hanging="360"/>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EnvelopeReturn">
    <w:name w:val="envelope return"/>
    <w:basedOn w:val="Normal"/>
    <w:semiHidden/>
  </w:style>
  <w:style w:type="paragraph" w:customStyle="1" w:styleId="ABLOCKPARA">
    <w:name w:val="A BLOCK PARA"/>
    <w:basedOn w:val="Normal"/>
    <w:rPr>
      <w:rFonts w:ascii="Book Antiqua" w:hAnsi="Book Antiqua"/>
    </w:rPr>
  </w:style>
  <w:style w:type="paragraph" w:styleId="EndnoteText">
    <w:name w:val="endnote text"/>
    <w:basedOn w:val="Normal"/>
    <w:semiHidden/>
    <w:rPr>
      <w:rFonts w:ascii="AA Normal" w:hAnsi="AA Normal"/>
      <w:sz w:val="20"/>
    </w:rPr>
  </w:style>
  <w:style w:type="paragraph" w:customStyle="1" w:styleId="ABLOCKPARA10">
    <w:name w:val="A BLOCK PARA 10"/>
    <w:basedOn w:val="ABLOCKPARA"/>
    <w:rPr>
      <w:sz w:val="20"/>
    </w:rPr>
  </w:style>
  <w:style w:type="paragraph" w:customStyle="1" w:styleId="ABLOCKPARA9">
    <w:name w:val="A BLOCK PARA 9"/>
    <w:basedOn w:val="ABLOCKPARA"/>
    <w:pPr>
      <w:spacing w:line="200" w:lineRule="exact"/>
    </w:pPr>
    <w:rPr>
      <w:sz w:val="18"/>
    </w:rPr>
  </w:style>
  <w:style w:type="paragraph" w:customStyle="1" w:styleId="ATEXT">
    <w:name w:val="A TEXT"/>
    <w:basedOn w:val="ABLOCKPARA"/>
    <w:pPr>
      <w:spacing w:before="120"/>
      <w:ind w:left="187"/>
    </w:pPr>
  </w:style>
  <w:style w:type="paragraph" w:customStyle="1" w:styleId="APRIORITY1">
    <w:name w:val="A PRIORITY 1"/>
    <w:basedOn w:val="ABLOCKPARA"/>
    <w:pPr>
      <w:spacing w:before="240"/>
      <w:ind w:left="360" w:hanging="360"/>
    </w:pPr>
  </w:style>
  <w:style w:type="paragraph" w:customStyle="1" w:styleId="ABLOCKPARA12">
    <w:name w:val="A BLOCK PARA 12"/>
    <w:basedOn w:val="ABLOCKPARA"/>
    <w:pPr>
      <w:spacing w:before="240"/>
    </w:pPr>
    <w:rPr>
      <w:b/>
      <w:smallCaps/>
      <w:sz w:val="24"/>
    </w:rPr>
  </w:style>
  <w:style w:type="paragraph" w:customStyle="1" w:styleId="APRIORITY2">
    <w:name w:val="A PRIORITY 2"/>
    <w:basedOn w:val="ABLOCKPARA"/>
    <w:pPr>
      <w:spacing w:before="60"/>
      <w:ind w:left="360" w:hanging="360"/>
    </w:pPr>
  </w:style>
  <w:style w:type="paragraph" w:customStyle="1" w:styleId="ABLOCKPARABOLD">
    <w:name w:val="A BLOCK PARA BOLD"/>
    <w:basedOn w:val="ABLOCKPARA"/>
    <w:rPr>
      <w:b/>
    </w:rPr>
  </w:style>
  <w:style w:type="paragraph" w:customStyle="1" w:styleId="APRIORITY3">
    <w:name w:val="A PRIORITY 3"/>
    <w:basedOn w:val="ABLOCKPARA"/>
    <w:pPr>
      <w:spacing w:before="240"/>
      <w:ind w:left="360" w:hanging="360"/>
    </w:pPr>
  </w:style>
  <w:style w:type="paragraph" w:styleId="Footer">
    <w:name w:val="footer"/>
    <w:basedOn w:val="Normal"/>
    <w:semiHidden/>
    <w:pPr>
      <w:tabs>
        <w:tab w:val="center" w:pos="4320"/>
        <w:tab w:val="right" w:pos="8640"/>
      </w:tabs>
    </w:pPr>
  </w:style>
  <w:style w:type="paragraph" w:customStyle="1" w:styleId="To">
    <w:name w:val="To"/>
    <w:basedOn w:val="Normal"/>
    <w:rPr>
      <w:sz w:val="36"/>
    </w:rPr>
  </w:style>
  <w:style w:type="paragraph" w:customStyle="1" w:styleId="ToCompany">
    <w:name w:val="ToCompany"/>
    <w:basedOn w:val="Normal"/>
    <w:rPr>
      <w:sz w:val="28"/>
    </w:rPr>
  </w:style>
  <w:style w:type="paragraph" w:customStyle="1" w:styleId="ToFax">
    <w:name w:val="ToFax"/>
    <w:basedOn w:val="Normal"/>
    <w:rPr>
      <w:sz w:val="28"/>
    </w:rPr>
  </w:style>
  <w:style w:type="paragraph" w:customStyle="1" w:styleId="From">
    <w:name w:val="From"/>
    <w:basedOn w:val="Normal"/>
    <w:pPr>
      <w:spacing w:before="360"/>
    </w:pPr>
    <w:rPr>
      <w:sz w:val="36"/>
    </w:rPr>
  </w:style>
  <w:style w:type="paragraph" w:customStyle="1" w:styleId="FromCompany">
    <w:name w:val="FromCompany"/>
    <w:basedOn w:val="Normal"/>
    <w:rPr>
      <w:sz w:val="28"/>
    </w:rPr>
  </w:style>
  <w:style w:type="paragraph" w:customStyle="1" w:styleId="FromPhone">
    <w:name w:val="FromPhone"/>
    <w:basedOn w:val="Normal"/>
    <w:rPr>
      <w:sz w:val="28"/>
    </w:rPr>
  </w:style>
  <w:style w:type="paragraph" w:customStyle="1" w:styleId="FromFax">
    <w:name w:val="FromFax"/>
    <w:basedOn w:val="Normal"/>
    <w:rPr>
      <w:sz w:val="28"/>
    </w:rPr>
  </w:style>
  <w:style w:type="paragraph" w:customStyle="1" w:styleId="Pages">
    <w:name w:val="Pages"/>
    <w:basedOn w:val="Normal"/>
    <w:rPr>
      <w:sz w:val="28"/>
    </w:rPr>
  </w:style>
  <w:style w:type="paragraph" w:customStyle="1" w:styleId="ToPhone">
    <w:name w:val="ToPhone"/>
    <w:basedOn w:val="ToCompany"/>
  </w:style>
  <w:style w:type="paragraph" w:customStyle="1" w:styleId="ev1">
    <w:name w:val="ev1"/>
    <w:basedOn w:val="Normal"/>
    <w:pPr>
      <w:ind w:left="720" w:hanging="288"/>
    </w:pPr>
    <w:rPr>
      <w:rFonts w:ascii="Arial MT" w:hAnsi="Arial MT"/>
      <w:sz w:val="24"/>
    </w:rPr>
  </w:style>
  <w:style w:type="paragraph" w:customStyle="1" w:styleId="P6">
    <w:name w:val="P6"/>
    <w:basedOn w:val="Normal"/>
    <w:pPr>
      <w:keepLines/>
      <w:ind w:left="567"/>
      <w:jc w:val="both"/>
    </w:pPr>
    <w:rPr>
      <w:sz w:val="20"/>
    </w:rPr>
  </w:style>
  <w:style w:type="paragraph" w:customStyle="1" w:styleId="xl26">
    <w:name w:val="xl26"/>
    <w:basedOn w:val="Normal"/>
    <w:pPr>
      <w:spacing w:before="100" w:beforeAutospacing="1" w:after="100" w:afterAutospacing="1"/>
    </w:pPr>
    <w:rPr>
      <w:rFonts w:ascii="Arial TUR" w:eastAsia="Arial Unicode MS" w:hAnsi="Arial TUR" w:cs="Arial TUR"/>
      <w:sz w:val="24"/>
      <w:szCs w:val="24"/>
    </w:rPr>
  </w:style>
  <w:style w:type="paragraph" w:customStyle="1" w:styleId="xl27">
    <w:name w:val="xl27"/>
    <w:basedOn w:val="Normal"/>
    <w:pPr>
      <w:spacing w:before="100" w:beforeAutospacing="1" w:after="100" w:afterAutospacing="1"/>
      <w:jc w:val="center"/>
    </w:pPr>
    <w:rPr>
      <w:rFonts w:ascii="Arial TUR" w:eastAsia="Arial Unicode MS" w:hAnsi="Arial TUR" w:cs="Arial TUR"/>
      <w:b/>
      <w:bCs/>
      <w:sz w:val="24"/>
      <w:szCs w:val="24"/>
    </w:rPr>
  </w:style>
  <w:style w:type="paragraph" w:customStyle="1" w:styleId="xl28">
    <w:name w:val="xl28"/>
    <w:basedOn w:val="Normal"/>
    <w:pPr>
      <w:spacing w:before="100" w:beforeAutospacing="1" w:after="100" w:afterAutospacing="1"/>
      <w:jc w:val="center"/>
    </w:pPr>
    <w:rPr>
      <w:rFonts w:ascii="Arial TUR" w:eastAsia="Arial Unicode MS" w:hAnsi="Arial TUR" w:cs="Arial TUR"/>
      <w:sz w:val="24"/>
      <w:szCs w:val="24"/>
    </w:rPr>
  </w:style>
  <w:style w:type="paragraph" w:customStyle="1" w:styleId="xl29">
    <w:name w:val="xl29"/>
    <w:basedOn w:val="Normal"/>
    <w:pPr>
      <w:spacing w:before="100" w:beforeAutospacing="1" w:after="100" w:afterAutospacing="1"/>
      <w:jc w:val="center"/>
    </w:pPr>
    <w:rPr>
      <w:rFonts w:ascii="Arial TUR" w:eastAsia="Arial Unicode MS" w:hAnsi="Arial TUR" w:cs="Arial TUR"/>
      <w:b/>
      <w:bCs/>
      <w:sz w:val="24"/>
      <w:szCs w:val="24"/>
    </w:rPr>
  </w:style>
  <w:style w:type="paragraph" w:customStyle="1" w:styleId="xl30">
    <w:name w:val="xl30"/>
    <w:basedOn w:val="Normal"/>
    <w:pPr>
      <w:pBdr>
        <w:bottom w:val="single" w:sz="8" w:space="0" w:color="0000FF"/>
      </w:pBdr>
      <w:spacing w:before="100" w:beforeAutospacing="1" w:after="100" w:afterAutospacing="1"/>
    </w:pPr>
    <w:rPr>
      <w:rFonts w:ascii="Arial TUR" w:eastAsia="Arial Unicode MS" w:hAnsi="Arial TUR" w:cs="Arial TUR"/>
      <w:sz w:val="24"/>
      <w:szCs w:val="24"/>
    </w:rPr>
  </w:style>
  <w:style w:type="paragraph" w:customStyle="1" w:styleId="xl31">
    <w:name w:val="xl31"/>
    <w:basedOn w:val="Normal"/>
    <w:pPr>
      <w:pBdr>
        <w:bottom w:val="single" w:sz="8" w:space="0" w:color="0000FF"/>
      </w:pBdr>
      <w:spacing w:before="100" w:beforeAutospacing="1" w:after="100" w:afterAutospacing="1"/>
    </w:pPr>
    <w:rPr>
      <w:rFonts w:ascii="Arial TUR" w:eastAsia="Arial Unicode MS" w:hAnsi="Arial TUR" w:cs="Arial TUR"/>
      <w:b/>
      <w:bCs/>
      <w:sz w:val="24"/>
      <w:szCs w:val="24"/>
    </w:rPr>
  </w:style>
  <w:style w:type="paragraph" w:customStyle="1" w:styleId="xl32">
    <w:name w:val="xl32"/>
    <w:basedOn w:val="Normal"/>
    <w:pPr>
      <w:pBdr>
        <w:bottom w:val="single" w:sz="8" w:space="0" w:color="0000FF"/>
      </w:pBdr>
      <w:spacing w:before="100" w:beforeAutospacing="1" w:after="100" w:afterAutospacing="1"/>
    </w:pPr>
    <w:rPr>
      <w:rFonts w:ascii="Arial TUR" w:eastAsia="Arial Unicode MS" w:hAnsi="Arial TUR" w:cs="Arial TUR"/>
      <w:b/>
      <w:bCs/>
      <w:sz w:val="24"/>
      <w:szCs w:val="24"/>
    </w:rPr>
  </w:style>
  <w:style w:type="paragraph" w:customStyle="1" w:styleId="xl33">
    <w:name w:val="xl33"/>
    <w:basedOn w:val="Normal"/>
    <w:pPr>
      <w:pBdr>
        <w:bottom w:val="single" w:sz="8" w:space="0" w:color="0000FF"/>
      </w:pBdr>
      <w:spacing w:before="100" w:beforeAutospacing="1" w:after="100" w:afterAutospacing="1"/>
      <w:jc w:val="center"/>
    </w:pPr>
    <w:rPr>
      <w:rFonts w:ascii="Arial TUR" w:eastAsia="Arial Unicode MS" w:hAnsi="Arial TUR" w:cs="Arial TUR"/>
      <w:b/>
      <w:bCs/>
      <w:sz w:val="24"/>
      <w:szCs w:val="24"/>
    </w:rPr>
  </w:style>
  <w:style w:type="paragraph" w:customStyle="1" w:styleId="xl34">
    <w:name w:val="xl34"/>
    <w:basedOn w:val="Normal"/>
    <w:pPr>
      <w:spacing w:before="100" w:beforeAutospacing="1" w:after="100" w:afterAutospacing="1"/>
    </w:pPr>
    <w:rPr>
      <w:rFonts w:ascii="Arial TUR" w:eastAsia="Arial Unicode MS" w:hAnsi="Arial TUR" w:cs="Arial TUR"/>
      <w:sz w:val="24"/>
      <w:szCs w:val="24"/>
    </w:rPr>
  </w:style>
  <w:style w:type="paragraph" w:customStyle="1" w:styleId="xl35">
    <w:name w:val="xl35"/>
    <w:basedOn w:val="Normal"/>
    <w:pPr>
      <w:pBdr>
        <w:bottom w:val="single" w:sz="8" w:space="0" w:color="FF0000"/>
      </w:pBdr>
      <w:spacing w:before="100" w:beforeAutospacing="1" w:after="100" w:afterAutospacing="1"/>
    </w:pPr>
    <w:rPr>
      <w:rFonts w:ascii="Arial TUR" w:eastAsia="Arial Unicode MS" w:hAnsi="Arial TUR" w:cs="Arial TUR"/>
      <w:sz w:val="24"/>
      <w:szCs w:val="24"/>
    </w:rPr>
  </w:style>
  <w:style w:type="paragraph" w:customStyle="1" w:styleId="xl36">
    <w:name w:val="xl36"/>
    <w:basedOn w:val="Normal"/>
    <w:pPr>
      <w:pBdr>
        <w:bottom w:val="dotted" w:sz="4" w:space="0" w:color="0000FF"/>
      </w:pBdr>
      <w:spacing w:before="100" w:beforeAutospacing="1" w:after="100" w:afterAutospacing="1"/>
    </w:pPr>
    <w:rPr>
      <w:rFonts w:ascii="Arial TUR" w:eastAsia="Arial Unicode MS" w:hAnsi="Arial TUR" w:cs="Arial TUR"/>
      <w:sz w:val="24"/>
      <w:szCs w:val="24"/>
    </w:rPr>
  </w:style>
  <w:style w:type="paragraph" w:customStyle="1" w:styleId="xl37">
    <w:name w:val="xl37"/>
    <w:basedOn w:val="Normal"/>
    <w:pPr>
      <w:pBdr>
        <w:bottom w:val="dashed" w:sz="4" w:space="0" w:color="auto"/>
      </w:pBdr>
      <w:spacing w:before="100" w:beforeAutospacing="1" w:after="100" w:afterAutospacing="1"/>
    </w:pPr>
    <w:rPr>
      <w:rFonts w:ascii="Arial TUR" w:eastAsia="Arial Unicode MS" w:hAnsi="Arial TUR" w:cs="Arial TUR"/>
      <w:sz w:val="24"/>
      <w:szCs w:val="24"/>
    </w:rPr>
  </w:style>
  <w:style w:type="paragraph" w:customStyle="1" w:styleId="xl38">
    <w:name w:val="xl38"/>
    <w:basedOn w:val="Normal"/>
    <w:pPr>
      <w:pBdr>
        <w:bottom w:val="double" w:sz="6" w:space="0" w:color="0000FF"/>
      </w:pBdr>
      <w:spacing w:before="100" w:beforeAutospacing="1" w:after="100" w:afterAutospacing="1"/>
    </w:pPr>
    <w:rPr>
      <w:rFonts w:ascii="Arial TUR" w:eastAsia="Arial Unicode MS" w:hAnsi="Arial TUR" w:cs="Arial TUR"/>
      <w:sz w:val="24"/>
      <w:szCs w:val="24"/>
    </w:rPr>
  </w:style>
  <w:style w:type="paragraph" w:customStyle="1" w:styleId="xl39">
    <w:name w:val="xl39"/>
    <w:basedOn w:val="Normal"/>
    <w:pPr>
      <w:pBdr>
        <w:bottom w:val="single" w:sz="12" w:space="0" w:color="auto"/>
      </w:pBdr>
      <w:shd w:val="pct12" w:color="auto" w:fill="auto"/>
      <w:spacing w:before="100" w:beforeAutospacing="1" w:after="100" w:afterAutospacing="1"/>
    </w:pPr>
    <w:rPr>
      <w:rFonts w:ascii="Arial TUR" w:eastAsia="Arial Unicode MS" w:hAnsi="Arial TUR" w:cs="Arial TUR"/>
      <w:sz w:val="24"/>
      <w:szCs w:val="24"/>
    </w:rPr>
  </w:style>
  <w:style w:type="paragraph" w:customStyle="1" w:styleId="xl40">
    <w:name w:val="xl40"/>
    <w:basedOn w:val="Normal"/>
    <w:pPr>
      <w:pBdr>
        <w:bottom w:val="single" w:sz="12" w:space="0" w:color="auto"/>
      </w:pBdr>
      <w:shd w:val="pct12" w:color="auto" w:fill="auto"/>
      <w:spacing w:before="100" w:beforeAutospacing="1" w:after="100" w:afterAutospacing="1"/>
    </w:pPr>
    <w:rPr>
      <w:rFonts w:ascii="Arial TUR" w:eastAsia="Arial Unicode MS" w:hAnsi="Arial TUR" w:cs="Arial TUR"/>
      <w:sz w:val="24"/>
      <w:szCs w:val="24"/>
    </w:rPr>
  </w:style>
  <w:style w:type="paragraph" w:customStyle="1" w:styleId="xl41">
    <w:name w:val="xl41"/>
    <w:basedOn w:val="Normal"/>
    <w:pPr>
      <w:pBdr>
        <w:bottom w:val="single" w:sz="8" w:space="0" w:color="FF0000"/>
      </w:pBdr>
      <w:spacing w:before="100" w:beforeAutospacing="1" w:after="100" w:afterAutospacing="1"/>
    </w:pPr>
    <w:rPr>
      <w:rFonts w:ascii="Arial TUR" w:eastAsia="Arial Unicode MS" w:hAnsi="Arial TUR" w:cs="Arial TUR"/>
      <w:sz w:val="24"/>
      <w:szCs w:val="24"/>
    </w:rPr>
  </w:style>
  <w:style w:type="paragraph" w:customStyle="1" w:styleId="xl42">
    <w:name w:val="xl42"/>
    <w:basedOn w:val="Normal"/>
    <w:pPr>
      <w:pBdr>
        <w:bottom w:val="single" w:sz="8" w:space="0" w:color="0000FF"/>
      </w:pBdr>
      <w:spacing w:before="100" w:beforeAutospacing="1" w:after="100" w:afterAutospacing="1"/>
    </w:pPr>
    <w:rPr>
      <w:rFonts w:ascii="Arial TUR" w:eastAsia="Arial Unicode MS" w:hAnsi="Arial TUR" w:cs="Arial TUR"/>
      <w:sz w:val="24"/>
      <w:szCs w:val="24"/>
    </w:rPr>
  </w:style>
  <w:style w:type="paragraph" w:customStyle="1" w:styleId="xl43">
    <w:name w:val="xl43"/>
    <w:basedOn w:val="Normal"/>
    <w:pPr>
      <w:spacing w:before="100" w:beforeAutospacing="1" w:after="100" w:afterAutospacing="1"/>
      <w:jc w:val="center"/>
    </w:pPr>
    <w:rPr>
      <w:rFonts w:ascii="Arial TUR" w:eastAsia="Arial Unicode MS" w:hAnsi="Arial TUR" w:cs="Arial TUR"/>
      <w:b/>
      <w:b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val="en-US" w:eastAsia="en-US"/>
    </w:rPr>
  </w:style>
  <w:style w:type="paragraph" w:styleId="Heading1">
    <w:name w:val="heading 1"/>
    <w:basedOn w:val="Normal"/>
    <w:next w:val="Normal"/>
    <w:qFormat/>
    <w:pPr>
      <w:keepNext/>
      <w:tabs>
        <w:tab w:val="left" w:pos="6192"/>
        <w:tab w:val="left" w:pos="7488"/>
        <w:tab w:val="left" w:pos="8784"/>
      </w:tabs>
      <w:outlineLvl w:val="0"/>
    </w:pPr>
    <w:rPr>
      <w:u w:val="single"/>
    </w:rPr>
  </w:style>
  <w:style w:type="paragraph" w:styleId="Heading2">
    <w:name w:val="heading 2"/>
    <w:basedOn w:val="Normal"/>
    <w:next w:val="Normal"/>
    <w:qFormat/>
    <w:pPr>
      <w:keepNext/>
      <w:tabs>
        <w:tab w:val="left" w:pos="720"/>
        <w:tab w:val="left" w:pos="1584"/>
        <w:tab w:val="left" w:pos="6192"/>
        <w:tab w:val="left" w:pos="7488"/>
        <w:tab w:val="left" w:pos="8784"/>
      </w:tabs>
      <w:ind w:left="540"/>
      <w:outlineLvl w:val="1"/>
    </w:pPr>
    <w:rPr>
      <w:u w:val="single"/>
    </w:rPr>
  </w:style>
  <w:style w:type="paragraph" w:styleId="Heading3">
    <w:name w:val="heading 3"/>
    <w:basedOn w:val="Normal"/>
    <w:next w:val="Normal"/>
    <w:qFormat/>
    <w:pPr>
      <w:keepNext/>
      <w:tabs>
        <w:tab w:val="left" w:pos="1584"/>
        <w:tab w:val="left" w:pos="6192"/>
        <w:tab w:val="left" w:pos="7488"/>
        <w:tab w:val="left" w:pos="8784"/>
      </w:tabs>
      <w:ind w:left="1080"/>
      <w:outlineLvl w:val="2"/>
    </w:pPr>
    <w:rPr>
      <w:u w:val="single"/>
    </w:rPr>
  </w:style>
  <w:style w:type="paragraph" w:styleId="Heading4">
    <w:name w:val="heading 4"/>
    <w:basedOn w:val="Normal"/>
    <w:next w:val="Normal"/>
    <w:qFormat/>
    <w:pPr>
      <w:keepNext/>
      <w:tabs>
        <w:tab w:val="left" w:pos="864"/>
        <w:tab w:val="left" w:pos="1584"/>
        <w:tab w:val="left" w:pos="6048"/>
        <w:tab w:val="left" w:pos="7920"/>
      </w:tabs>
      <w:outlineLvl w:val="3"/>
    </w:pPr>
    <w:rPr>
      <w:b/>
      <w:sz w:val="36"/>
    </w:rPr>
  </w:style>
  <w:style w:type="paragraph" w:styleId="Heading5">
    <w:name w:val="heading 5"/>
    <w:basedOn w:val="Normal"/>
    <w:next w:val="Normal"/>
    <w:qFormat/>
    <w:pPr>
      <w:keepNext/>
      <w:tabs>
        <w:tab w:val="right" w:pos="7200"/>
        <w:tab w:val="right" w:pos="8640"/>
      </w:tabs>
      <w:ind w:left="360" w:hanging="360"/>
      <w:outlineLvl w:val="4"/>
    </w:pPr>
    <w:rPr>
      <w:b/>
    </w:rPr>
  </w:style>
  <w:style w:type="paragraph" w:styleId="Heading6">
    <w:name w:val="heading 6"/>
    <w:basedOn w:val="Normal"/>
    <w:next w:val="Normal"/>
    <w:qFormat/>
    <w:pPr>
      <w:keepNext/>
      <w:outlineLvl w:val="5"/>
    </w:pPr>
    <w:rPr>
      <w:b/>
      <w:sz w:val="18"/>
      <w:u w:val="single"/>
    </w:rPr>
  </w:style>
  <w:style w:type="paragraph" w:styleId="Heading7">
    <w:name w:val="heading 7"/>
    <w:basedOn w:val="Normal"/>
    <w:next w:val="Normal"/>
    <w:qFormat/>
    <w:pPr>
      <w:keepNext/>
      <w:ind w:left="252" w:hanging="252"/>
      <w:outlineLvl w:val="6"/>
    </w:pPr>
    <w:rPr>
      <w:u w:val="single"/>
    </w:rPr>
  </w:style>
  <w:style w:type="paragraph" w:styleId="Heading8">
    <w:name w:val="heading 8"/>
    <w:basedOn w:val="Normal"/>
    <w:next w:val="Normal"/>
    <w:qFormat/>
    <w:pPr>
      <w:keepNext/>
      <w:ind w:left="162" w:hanging="162"/>
      <w:outlineLvl w:val="7"/>
    </w:pPr>
    <w:rPr>
      <w:i/>
      <w:u w:val="single"/>
    </w:rPr>
  </w:style>
  <w:style w:type="paragraph" w:styleId="Heading9">
    <w:name w:val="heading 9"/>
    <w:basedOn w:val="Normal"/>
    <w:next w:val="Normal"/>
    <w:qFormat/>
    <w:pPr>
      <w:keepNext/>
      <w:tabs>
        <w:tab w:val="right" w:pos="5760"/>
        <w:tab w:val="right" w:pos="7200"/>
      </w:tabs>
      <w:outlineLvl w:val="8"/>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left" w:pos="720"/>
        <w:tab w:val="left" w:pos="1584"/>
        <w:tab w:val="left" w:pos="5616"/>
        <w:tab w:val="left" w:pos="7920"/>
      </w:tabs>
      <w:ind w:right="-166"/>
    </w:pPr>
  </w:style>
  <w:style w:type="paragraph" w:styleId="BodyText2">
    <w:name w:val="Body Text 2"/>
    <w:basedOn w:val="Normal"/>
    <w:semiHidden/>
    <w:pPr>
      <w:tabs>
        <w:tab w:val="left" w:pos="0"/>
        <w:tab w:val="left" w:pos="389"/>
        <w:tab w:val="left" w:pos="600"/>
        <w:tab w:val="left" w:pos="1200"/>
        <w:tab w:val="left" w:pos="1800"/>
        <w:tab w:val="left" w:pos="2400"/>
        <w:tab w:val="left" w:pos="3000"/>
        <w:tab w:val="left" w:pos="4800"/>
        <w:tab w:val="left" w:pos="5400"/>
        <w:tab w:val="left" w:pos="6000"/>
        <w:tab w:val="left" w:pos="6600"/>
        <w:tab w:val="left" w:pos="7200"/>
        <w:tab w:val="left" w:pos="7800"/>
        <w:tab w:val="left" w:pos="7920"/>
      </w:tabs>
      <w:suppressAutoHyphens/>
      <w:ind w:right="29"/>
      <w:jc w:val="both"/>
    </w:pPr>
    <w:rPr>
      <w:spacing w:val="-2"/>
    </w:rPr>
  </w:style>
  <w:style w:type="paragraph" w:styleId="BodyText3">
    <w:name w:val="Body Text 3"/>
    <w:basedOn w:val="Normal"/>
    <w:semiHidden/>
    <w:pPr>
      <w:tabs>
        <w:tab w:val="left" w:pos="720"/>
        <w:tab w:val="left" w:pos="1584"/>
        <w:tab w:val="left" w:pos="6192"/>
        <w:tab w:val="left" w:pos="7488"/>
        <w:tab w:val="left" w:pos="8784"/>
      </w:tabs>
      <w:ind w:right="-1336"/>
    </w:pPr>
  </w:style>
  <w:style w:type="paragraph" w:styleId="BodyTextIndent">
    <w:name w:val="Body Text Indent"/>
    <w:basedOn w:val="Normal"/>
    <w:semiHidden/>
    <w:pPr>
      <w:tabs>
        <w:tab w:val="right" w:pos="5760"/>
        <w:tab w:val="right" w:pos="7200"/>
      </w:tabs>
      <w:ind w:left="360" w:hanging="360"/>
    </w:pPr>
  </w:style>
  <w:style w:type="paragraph" w:styleId="BlockText">
    <w:name w:val="Block Text"/>
    <w:basedOn w:val="Normal"/>
    <w:semiHidden/>
    <w:pPr>
      <w:tabs>
        <w:tab w:val="left" w:pos="6912"/>
        <w:tab w:val="right" w:pos="7200"/>
        <w:tab w:val="left" w:pos="8064"/>
        <w:tab w:val="right" w:pos="8640"/>
      </w:tabs>
      <w:ind w:left="360" w:right="-76" w:hanging="360"/>
    </w:pPr>
  </w:style>
  <w:style w:type="paragraph" w:styleId="BodyTextIndent2">
    <w:name w:val="Body Text Indent 2"/>
    <w:basedOn w:val="Normal"/>
    <w:semiHidden/>
    <w:pPr>
      <w:tabs>
        <w:tab w:val="left" w:pos="3456"/>
        <w:tab w:val="left" w:pos="4176"/>
        <w:tab w:val="left" w:pos="4608"/>
      </w:tabs>
      <w:ind w:left="540" w:hanging="540"/>
    </w:pPr>
  </w:style>
  <w:style w:type="paragraph" w:styleId="BodyTextIndent3">
    <w:name w:val="Body Text Indent 3"/>
    <w:basedOn w:val="Normal"/>
    <w:semiHidden/>
    <w:pPr>
      <w:tabs>
        <w:tab w:val="left" w:pos="3456"/>
        <w:tab w:val="left" w:pos="4176"/>
        <w:tab w:val="left" w:pos="4608"/>
      </w:tabs>
      <w:ind w:left="900" w:hanging="360"/>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EnvelopeReturn">
    <w:name w:val="envelope return"/>
    <w:basedOn w:val="Normal"/>
    <w:semiHidden/>
  </w:style>
  <w:style w:type="paragraph" w:customStyle="1" w:styleId="ABLOCKPARA">
    <w:name w:val="A BLOCK PARA"/>
    <w:basedOn w:val="Normal"/>
    <w:rPr>
      <w:rFonts w:ascii="Book Antiqua" w:hAnsi="Book Antiqua"/>
    </w:rPr>
  </w:style>
  <w:style w:type="paragraph" w:styleId="EndnoteText">
    <w:name w:val="endnote text"/>
    <w:basedOn w:val="Normal"/>
    <w:semiHidden/>
    <w:rPr>
      <w:rFonts w:ascii="AA Normal" w:hAnsi="AA Normal"/>
      <w:sz w:val="20"/>
    </w:rPr>
  </w:style>
  <w:style w:type="paragraph" w:customStyle="1" w:styleId="ABLOCKPARA10">
    <w:name w:val="A BLOCK PARA 10"/>
    <w:basedOn w:val="ABLOCKPARA"/>
    <w:rPr>
      <w:sz w:val="20"/>
    </w:rPr>
  </w:style>
  <w:style w:type="paragraph" w:customStyle="1" w:styleId="ABLOCKPARA9">
    <w:name w:val="A BLOCK PARA 9"/>
    <w:basedOn w:val="ABLOCKPARA"/>
    <w:pPr>
      <w:spacing w:line="200" w:lineRule="exact"/>
    </w:pPr>
    <w:rPr>
      <w:sz w:val="18"/>
    </w:rPr>
  </w:style>
  <w:style w:type="paragraph" w:customStyle="1" w:styleId="ATEXT">
    <w:name w:val="A TEXT"/>
    <w:basedOn w:val="ABLOCKPARA"/>
    <w:pPr>
      <w:spacing w:before="120"/>
      <w:ind w:left="187"/>
    </w:pPr>
  </w:style>
  <w:style w:type="paragraph" w:customStyle="1" w:styleId="APRIORITY1">
    <w:name w:val="A PRIORITY 1"/>
    <w:basedOn w:val="ABLOCKPARA"/>
    <w:pPr>
      <w:spacing w:before="240"/>
      <w:ind w:left="360" w:hanging="360"/>
    </w:pPr>
  </w:style>
  <w:style w:type="paragraph" w:customStyle="1" w:styleId="ABLOCKPARA12">
    <w:name w:val="A BLOCK PARA 12"/>
    <w:basedOn w:val="ABLOCKPARA"/>
    <w:pPr>
      <w:spacing w:before="240"/>
    </w:pPr>
    <w:rPr>
      <w:b/>
      <w:smallCaps/>
      <w:sz w:val="24"/>
    </w:rPr>
  </w:style>
  <w:style w:type="paragraph" w:customStyle="1" w:styleId="APRIORITY2">
    <w:name w:val="A PRIORITY 2"/>
    <w:basedOn w:val="ABLOCKPARA"/>
    <w:pPr>
      <w:spacing w:before="60"/>
      <w:ind w:left="360" w:hanging="360"/>
    </w:pPr>
  </w:style>
  <w:style w:type="paragraph" w:customStyle="1" w:styleId="ABLOCKPARABOLD">
    <w:name w:val="A BLOCK PARA BOLD"/>
    <w:basedOn w:val="ABLOCKPARA"/>
    <w:rPr>
      <w:b/>
    </w:rPr>
  </w:style>
  <w:style w:type="paragraph" w:customStyle="1" w:styleId="APRIORITY3">
    <w:name w:val="A PRIORITY 3"/>
    <w:basedOn w:val="ABLOCKPARA"/>
    <w:pPr>
      <w:spacing w:before="240"/>
      <w:ind w:left="360" w:hanging="360"/>
    </w:pPr>
  </w:style>
  <w:style w:type="paragraph" w:styleId="Footer">
    <w:name w:val="footer"/>
    <w:basedOn w:val="Normal"/>
    <w:semiHidden/>
    <w:pPr>
      <w:tabs>
        <w:tab w:val="center" w:pos="4320"/>
        <w:tab w:val="right" w:pos="8640"/>
      </w:tabs>
    </w:pPr>
  </w:style>
  <w:style w:type="paragraph" w:customStyle="1" w:styleId="To">
    <w:name w:val="To"/>
    <w:basedOn w:val="Normal"/>
    <w:rPr>
      <w:sz w:val="36"/>
    </w:rPr>
  </w:style>
  <w:style w:type="paragraph" w:customStyle="1" w:styleId="ToCompany">
    <w:name w:val="ToCompany"/>
    <w:basedOn w:val="Normal"/>
    <w:rPr>
      <w:sz w:val="28"/>
    </w:rPr>
  </w:style>
  <w:style w:type="paragraph" w:customStyle="1" w:styleId="ToFax">
    <w:name w:val="ToFax"/>
    <w:basedOn w:val="Normal"/>
    <w:rPr>
      <w:sz w:val="28"/>
    </w:rPr>
  </w:style>
  <w:style w:type="paragraph" w:customStyle="1" w:styleId="From">
    <w:name w:val="From"/>
    <w:basedOn w:val="Normal"/>
    <w:pPr>
      <w:spacing w:before="360"/>
    </w:pPr>
    <w:rPr>
      <w:sz w:val="36"/>
    </w:rPr>
  </w:style>
  <w:style w:type="paragraph" w:customStyle="1" w:styleId="FromCompany">
    <w:name w:val="FromCompany"/>
    <w:basedOn w:val="Normal"/>
    <w:rPr>
      <w:sz w:val="28"/>
    </w:rPr>
  </w:style>
  <w:style w:type="paragraph" w:customStyle="1" w:styleId="FromPhone">
    <w:name w:val="FromPhone"/>
    <w:basedOn w:val="Normal"/>
    <w:rPr>
      <w:sz w:val="28"/>
    </w:rPr>
  </w:style>
  <w:style w:type="paragraph" w:customStyle="1" w:styleId="FromFax">
    <w:name w:val="FromFax"/>
    <w:basedOn w:val="Normal"/>
    <w:rPr>
      <w:sz w:val="28"/>
    </w:rPr>
  </w:style>
  <w:style w:type="paragraph" w:customStyle="1" w:styleId="Pages">
    <w:name w:val="Pages"/>
    <w:basedOn w:val="Normal"/>
    <w:rPr>
      <w:sz w:val="28"/>
    </w:rPr>
  </w:style>
  <w:style w:type="paragraph" w:customStyle="1" w:styleId="ToPhone">
    <w:name w:val="ToPhone"/>
    <w:basedOn w:val="ToCompany"/>
  </w:style>
  <w:style w:type="paragraph" w:customStyle="1" w:styleId="ev1">
    <w:name w:val="ev1"/>
    <w:basedOn w:val="Normal"/>
    <w:pPr>
      <w:ind w:left="720" w:hanging="288"/>
    </w:pPr>
    <w:rPr>
      <w:rFonts w:ascii="Arial MT" w:hAnsi="Arial MT"/>
      <w:sz w:val="24"/>
    </w:rPr>
  </w:style>
  <w:style w:type="paragraph" w:customStyle="1" w:styleId="P6">
    <w:name w:val="P6"/>
    <w:basedOn w:val="Normal"/>
    <w:pPr>
      <w:keepLines/>
      <w:ind w:left="567"/>
      <w:jc w:val="both"/>
    </w:pPr>
    <w:rPr>
      <w:sz w:val="20"/>
    </w:rPr>
  </w:style>
  <w:style w:type="paragraph" w:customStyle="1" w:styleId="xl26">
    <w:name w:val="xl26"/>
    <w:basedOn w:val="Normal"/>
    <w:pPr>
      <w:spacing w:before="100" w:beforeAutospacing="1" w:after="100" w:afterAutospacing="1"/>
    </w:pPr>
    <w:rPr>
      <w:rFonts w:ascii="Arial TUR" w:eastAsia="Arial Unicode MS" w:hAnsi="Arial TUR" w:cs="Arial TUR"/>
      <w:sz w:val="24"/>
      <w:szCs w:val="24"/>
    </w:rPr>
  </w:style>
  <w:style w:type="paragraph" w:customStyle="1" w:styleId="xl27">
    <w:name w:val="xl27"/>
    <w:basedOn w:val="Normal"/>
    <w:pPr>
      <w:spacing w:before="100" w:beforeAutospacing="1" w:after="100" w:afterAutospacing="1"/>
      <w:jc w:val="center"/>
    </w:pPr>
    <w:rPr>
      <w:rFonts w:ascii="Arial TUR" w:eastAsia="Arial Unicode MS" w:hAnsi="Arial TUR" w:cs="Arial TUR"/>
      <w:b/>
      <w:bCs/>
      <w:sz w:val="24"/>
      <w:szCs w:val="24"/>
    </w:rPr>
  </w:style>
  <w:style w:type="paragraph" w:customStyle="1" w:styleId="xl28">
    <w:name w:val="xl28"/>
    <w:basedOn w:val="Normal"/>
    <w:pPr>
      <w:spacing w:before="100" w:beforeAutospacing="1" w:after="100" w:afterAutospacing="1"/>
      <w:jc w:val="center"/>
    </w:pPr>
    <w:rPr>
      <w:rFonts w:ascii="Arial TUR" w:eastAsia="Arial Unicode MS" w:hAnsi="Arial TUR" w:cs="Arial TUR"/>
      <w:sz w:val="24"/>
      <w:szCs w:val="24"/>
    </w:rPr>
  </w:style>
  <w:style w:type="paragraph" w:customStyle="1" w:styleId="xl29">
    <w:name w:val="xl29"/>
    <w:basedOn w:val="Normal"/>
    <w:pPr>
      <w:spacing w:before="100" w:beforeAutospacing="1" w:after="100" w:afterAutospacing="1"/>
      <w:jc w:val="center"/>
    </w:pPr>
    <w:rPr>
      <w:rFonts w:ascii="Arial TUR" w:eastAsia="Arial Unicode MS" w:hAnsi="Arial TUR" w:cs="Arial TUR"/>
      <w:b/>
      <w:bCs/>
      <w:sz w:val="24"/>
      <w:szCs w:val="24"/>
    </w:rPr>
  </w:style>
  <w:style w:type="paragraph" w:customStyle="1" w:styleId="xl30">
    <w:name w:val="xl30"/>
    <w:basedOn w:val="Normal"/>
    <w:pPr>
      <w:pBdr>
        <w:bottom w:val="single" w:sz="8" w:space="0" w:color="0000FF"/>
      </w:pBdr>
      <w:spacing w:before="100" w:beforeAutospacing="1" w:after="100" w:afterAutospacing="1"/>
    </w:pPr>
    <w:rPr>
      <w:rFonts w:ascii="Arial TUR" w:eastAsia="Arial Unicode MS" w:hAnsi="Arial TUR" w:cs="Arial TUR"/>
      <w:sz w:val="24"/>
      <w:szCs w:val="24"/>
    </w:rPr>
  </w:style>
  <w:style w:type="paragraph" w:customStyle="1" w:styleId="xl31">
    <w:name w:val="xl31"/>
    <w:basedOn w:val="Normal"/>
    <w:pPr>
      <w:pBdr>
        <w:bottom w:val="single" w:sz="8" w:space="0" w:color="0000FF"/>
      </w:pBdr>
      <w:spacing w:before="100" w:beforeAutospacing="1" w:after="100" w:afterAutospacing="1"/>
    </w:pPr>
    <w:rPr>
      <w:rFonts w:ascii="Arial TUR" w:eastAsia="Arial Unicode MS" w:hAnsi="Arial TUR" w:cs="Arial TUR"/>
      <w:b/>
      <w:bCs/>
      <w:sz w:val="24"/>
      <w:szCs w:val="24"/>
    </w:rPr>
  </w:style>
  <w:style w:type="paragraph" w:customStyle="1" w:styleId="xl32">
    <w:name w:val="xl32"/>
    <w:basedOn w:val="Normal"/>
    <w:pPr>
      <w:pBdr>
        <w:bottom w:val="single" w:sz="8" w:space="0" w:color="0000FF"/>
      </w:pBdr>
      <w:spacing w:before="100" w:beforeAutospacing="1" w:after="100" w:afterAutospacing="1"/>
    </w:pPr>
    <w:rPr>
      <w:rFonts w:ascii="Arial TUR" w:eastAsia="Arial Unicode MS" w:hAnsi="Arial TUR" w:cs="Arial TUR"/>
      <w:b/>
      <w:bCs/>
      <w:sz w:val="24"/>
      <w:szCs w:val="24"/>
    </w:rPr>
  </w:style>
  <w:style w:type="paragraph" w:customStyle="1" w:styleId="xl33">
    <w:name w:val="xl33"/>
    <w:basedOn w:val="Normal"/>
    <w:pPr>
      <w:pBdr>
        <w:bottom w:val="single" w:sz="8" w:space="0" w:color="0000FF"/>
      </w:pBdr>
      <w:spacing w:before="100" w:beforeAutospacing="1" w:after="100" w:afterAutospacing="1"/>
      <w:jc w:val="center"/>
    </w:pPr>
    <w:rPr>
      <w:rFonts w:ascii="Arial TUR" w:eastAsia="Arial Unicode MS" w:hAnsi="Arial TUR" w:cs="Arial TUR"/>
      <w:b/>
      <w:bCs/>
      <w:sz w:val="24"/>
      <w:szCs w:val="24"/>
    </w:rPr>
  </w:style>
  <w:style w:type="paragraph" w:customStyle="1" w:styleId="xl34">
    <w:name w:val="xl34"/>
    <w:basedOn w:val="Normal"/>
    <w:pPr>
      <w:spacing w:before="100" w:beforeAutospacing="1" w:after="100" w:afterAutospacing="1"/>
    </w:pPr>
    <w:rPr>
      <w:rFonts w:ascii="Arial TUR" w:eastAsia="Arial Unicode MS" w:hAnsi="Arial TUR" w:cs="Arial TUR"/>
      <w:sz w:val="24"/>
      <w:szCs w:val="24"/>
    </w:rPr>
  </w:style>
  <w:style w:type="paragraph" w:customStyle="1" w:styleId="xl35">
    <w:name w:val="xl35"/>
    <w:basedOn w:val="Normal"/>
    <w:pPr>
      <w:pBdr>
        <w:bottom w:val="single" w:sz="8" w:space="0" w:color="FF0000"/>
      </w:pBdr>
      <w:spacing w:before="100" w:beforeAutospacing="1" w:after="100" w:afterAutospacing="1"/>
    </w:pPr>
    <w:rPr>
      <w:rFonts w:ascii="Arial TUR" w:eastAsia="Arial Unicode MS" w:hAnsi="Arial TUR" w:cs="Arial TUR"/>
      <w:sz w:val="24"/>
      <w:szCs w:val="24"/>
    </w:rPr>
  </w:style>
  <w:style w:type="paragraph" w:customStyle="1" w:styleId="xl36">
    <w:name w:val="xl36"/>
    <w:basedOn w:val="Normal"/>
    <w:pPr>
      <w:pBdr>
        <w:bottom w:val="dotted" w:sz="4" w:space="0" w:color="0000FF"/>
      </w:pBdr>
      <w:spacing w:before="100" w:beforeAutospacing="1" w:after="100" w:afterAutospacing="1"/>
    </w:pPr>
    <w:rPr>
      <w:rFonts w:ascii="Arial TUR" w:eastAsia="Arial Unicode MS" w:hAnsi="Arial TUR" w:cs="Arial TUR"/>
      <w:sz w:val="24"/>
      <w:szCs w:val="24"/>
    </w:rPr>
  </w:style>
  <w:style w:type="paragraph" w:customStyle="1" w:styleId="xl37">
    <w:name w:val="xl37"/>
    <w:basedOn w:val="Normal"/>
    <w:pPr>
      <w:pBdr>
        <w:bottom w:val="dashed" w:sz="4" w:space="0" w:color="auto"/>
      </w:pBdr>
      <w:spacing w:before="100" w:beforeAutospacing="1" w:after="100" w:afterAutospacing="1"/>
    </w:pPr>
    <w:rPr>
      <w:rFonts w:ascii="Arial TUR" w:eastAsia="Arial Unicode MS" w:hAnsi="Arial TUR" w:cs="Arial TUR"/>
      <w:sz w:val="24"/>
      <w:szCs w:val="24"/>
    </w:rPr>
  </w:style>
  <w:style w:type="paragraph" w:customStyle="1" w:styleId="xl38">
    <w:name w:val="xl38"/>
    <w:basedOn w:val="Normal"/>
    <w:pPr>
      <w:pBdr>
        <w:bottom w:val="double" w:sz="6" w:space="0" w:color="0000FF"/>
      </w:pBdr>
      <w:spacing w:before="100" w:beforeAutospacing="1" w:after="100" w:afterAutospacing="1"/>
    </w:pPr>
    <w:rPr>
      <w:rFonts w:ascii="Arial TUR" w:eastAsia="Arial Unicode MS" w:hAnsi="Arial TUR" w:cs="Arial TUR"/>
      <w:sz w:val="24"/>
      <w:szCs w:val="24"/>
    </w:rPr>
  </w:style>
  <w:style w:type="paragraph" w:customStyle="1" w:styleId="xl39">
    <w:name w:val="xl39"/>
    <w:basedOn w:val="Normal"/>
    <w:pPr>
      <w:pBdr>
        <w:bottom w:val="single" w:sz="12" w:space="0" w:color="auto"/>
      </w:pBdr>
      <w:shd w:val="pct12" w:color="auto" w:fill="auto"/>
      <w:spacing w:before="100" w:beforeAutospacing="1" w:after="100" w:afterAutospacing="1"/>
    </w:pPr>
    <w:rPr>
      <w:rFonts w:ascii="Arial TUR" w:eastAsia="Arial Unicode MS" w:hAnsi="Arial TUR" w:cs="Arial TUR"/>
      <w:sz w:val="24"/>
      <w:szCs w:val="24"/>
    </w:rPr>
  </w:style>
  <w:style w:type="paragraph" w:customStyle="1" w:styleId="xl40">
    <w:name w:val="xl40"/>
    <w:basedOn w:val="Normal"/>
    <w:pPr>
      <w:pBdr>
        <w:bottom w:val="single" w:sz="12" w:space="0" w:color="auto"/>
      </w:pBdr>
      <w:shd w:val="pct12" w:color="auto" w:fill="auto"/>
      <w:spacing w:before="100" w:beforeAutospacing="1" w:after="100" w:afterAutospacing="1"/>
    </w:pPr>
    <w:rPr>
      <w:rFonts w:ascii="Arial TUR" w:eastAsia="Arial Unicode MS" w:hAnsi="Arial TUR" w:cs="Arial TUR"/>
      <w:sz w:val="24"/>
      <w:szCs w:val="24"/>
    </w:rPr>
  </w:style>
  <w:style w:type="paragraph" w:customStyle="1" w:styleId="xl41">
    <w:name w:val="xl41"/>
    <w:basedOn w:val="Normal"/>
    <w:pPr>
      <w:pBdr>
        <w:bottom w:val="single" w:sz="8" w:space="0" w:color="FF0000"/>
      </w:pBdr>
      <w:spacing w:before="100" w:beforeAutospacing="1" w:after="100" w:afterAutospacing="1"/>
    </w:pPr>
    <w:rPr>
      <w:rFonts w:ascii="Arial TUR" w:eastAsia="Arial Unicode MS" w:hAnsi="Arial TUR" w:cs="Arial TUR"/>
      <w:sz w:val="24"/>
      <w:szCs w:val="24"/>
    </w:rPr>
  </w:style>
  <w:style w:type="paragraph" w:customStyle="1" w:styleId="xl42">
    <w:name w:val="xl42"/>
    <w:basedOn w:val="Normal"/>
    <w:pPr>
      <w:pBdr>
        <w:bottom w:val="single" w:sz="8" w:space="0" w:color="0000FF"/>
      </w:pBdr>
      <w:spacing w:before="100" w:beforeAutospacing="1" w:after="100" w:afterAutospacing="1"/>
    </w:pPr>
    <w:rPr>
      <w:rFonts w:ascii="Arial TUR" w:eastAsia="Arial Unicode MS" w:hAnsi="Arial TUR" w:cs="Arial TUR"/>
      <w:sz w:val="24"/>
      <w:szCs w:val="24"/>
    </w:rPr>
  </w:style>
  <w:style w:type="paragraph" w:customStyle="1" w:styleId="xl43">
    <w:name w:val="xl43"/>
    <w:basedOn w:val="Normal"/>
    <w:pPr>
      <w:spacing w:before="100" w:beforeAutospacing="1" w:after="100" w:afterAutospacing="1"/>
      <w:jc w:val="center"/>
    </w:pPr>
    <w:rPr>
      <w:rFonts w:ascii="Arial TUR" w:eastAsia="Arial Unicode MS" w:hAnsi="Arial TUR" w:cs="Arial TU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6663</Words>
  <Characters>37982</Characters>
  <Application>Microsoft Office Word</Application>
  <DocSecurity>4</DocSecurity>
  <Lines>316</Lines>
  <Paragraphs>89</Paragraphs>
  <ScaleCrop>false</ScaleCrop>
  <Company>BNP Paribas</Company>
  <LinksUpToDate>false</LinksUpToDate>
  <CharactersWithSpaces>44556</CharactersWithSpaces>
  <SharedDoc>false</SharedDoc>
  <HLinks>
    <vt:vector size="6" baseType="variant">
      <vt:variant>
        <vt:i4>7602238</vt:i4>
      </vt:variant>
      <vt:variant>
        <vt:i4>1356</vt:i4>
      </vt:variant>
      <vt:variant>
        <vt:i4>1025</vt:i4>
      </vt:variant>
      <vt:variant>
        <vt:i4>1</vt:i4>
      </vt:variant>
      <vt:variant>
        <vt:lpwstr>C:\DATA\Arthur Andersen\Admin\office admin\AA tanitim\Logo.gif</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