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083" w:rsidRDefault="00AC493D">
      <w:pPr>
        <w:pStyle w:val="Heading1"/>
        <w:jc w:val="left"/>
        <w:rPr>
          <w:sz w:val="22"/>
        </w:rPr>
      </w:pPr>
      <w:bookmarkStart w:id="0" w:name="_GoBack"/>
      <w:bookmarkEnd w:id="0"/>
      <w:r>
        <w:rPr>
          <w:sz w:val="22"/>
        </w:rPr>
        <w:t>6 Haziran 2005, Pazartesi</w:t>
      </w:r>
    </w:p>
    <w:p w:rsidR="00561083" w:rsidRDefault="00561083">
      <w:pPr>
        <w:pStyle w:val="BodyText2"/>
        <w:jc w:val="both"/>
        <w:rPr>
          <w:b w:val="0"/>
          <w:bCs w:val="0"/>
          <w:sz w:val="28"/>
        </w:rPr>
      </w:pPr>
    </w:p>
    <w:p w:rsidR="00561083" w:rsidRDefault="00AC493D">
      <w:pPr>
        <w:pStyle w:val="BodyText2"/>
        <w:jc w:val="both"/>
      </w:pPr>
      <w:r>
        <w:t xml:space="preserve">BNP Paribas - TEB ortaklığının ilk ürünü: Trade Center </w:t>
      </w:r>
    </w:p>
    <w:p w:rsidR="00561083" w:rsidRDefault="00561083">
      <w:pPr>
        <w:jc w:val="both"/>
        <w:rPr>
          <w:rFonts w:ascii="Arial" w:hAnsi="Arial" w:cs="Arial"/>
          <w:sz w:val="28"/>
        </w:rPr>
      </w:pPr>
    </w:p>
    <w:p w:rsidR="00561083" w:rsidRDefault="00AC493D">
      <w:pPr>
        <w:pStyle w:val="BodyText3"/>
        <w:jc w:val="both"/>
        <w:rPr>
          <w:b/>
          <w:bCs/>
        </w:rPr>
      </w:pPr>
      <w:r>
        <w:rPr>
          <w:b/>
          <w:bCs/>
        </w:rPr>
        <w:t xml:space="preserve">BNP Paribas ve Türk Ekonomi Bankası (TEB) arasında Şubat ayında gerçekleşen ortaklığın ilk ürünü Trade Center İstanbul’da hizmete girdi. Dış ticaret finansmanı konusunda danışmanlık vererek şirketlere özel çözümler sunmak amacıyla, tüm dünyada </w:t>
      </w:r>
      <w:r>
        <w:rPr>
          <w:b/>
          <w:bCs/>
          <w:noProof/>
        </w:rPr>
        <w:t>48 ülkede 75</w:t>
      </w:r>
      <w:r>
        <w:rPr>
          <w:b/>
          <w:bCs/>
          <w:noProof/>
        </w:rPr>
        <w:t xml:space="preserve"> noktada </w:t>
      </w:r>
      <w:r>
        <w:rPr>
          <w:b/>
          <w:bCs/>
        </w:rPr>
        <w:t>kurulu Trade Center’lar artık Türkiye’de...</w:t>
      </w:r>
    </w:p>
    <w:p w:rsidR="00561083" w:rsidRDefault="00561083">
      <w:pPr>
        <w:pStyle w:val="BodyText3"/>
        <w:jc w:val="both"/>
        <w:rPr>
          <w:b/>
          <w:bCs/>
        </w:rPr>
      </w:pPr>
    </w:p>
    <w:p w:rsidR="00561083" w:rsidRDefault="00AC493D">
      <w:pPr>
        <w:jc w:val="both"/>
        <w:rPr>
          <w:rFonts w:ascii="Arial" w:hAnsi="Arial" w:cs="Arial"/>
        </w:rPr>
      </w:pPr>
      <w:r>
        <w:rPr>
          <w:rFonts w:ascii="Arial" w:hAnsi="Arial" w:cs="Arial"/>
        </w:rPr>
        <w:t>Euro bölgesinin en büyük bankalarından BNP Paribas ile Türkiye’nin saygın bankalarından Türk Ekonomi Bankası’nın (TEB) Şubat 2005’te imzaladığı ortaklık anlaşmasının bankacılık sektöründeki ilk somut ür</w:t>
      </w:r>
      <w:r>
        <w:rPr>
          <w:rFonts w:ascii="Arial" w:hAnsi="Arial" w:cs="Arial"/>
        </w:rPr>
        <w:t xml:space="preserve">ünü olan ve dış ticaret konusunda danışmanlık hizmeti verecek Trade Center’ın ilk ofisi </w:t>
      </w:r>
      <w:r>
        <w:rPr>
          <w:rFonts w:ascii="Arial" w:eastAsia="MS Mincho" w:hAnsi="Arial" w:cs="Arial"/>
        </w:rPr>
        <w:t xml:space="preserve">6 Haziran 2005 Pazartesi günü </w:t>
      </w:r>
      <w:r>
        <w:rPr>
          <w:rFonts w:ascii="Arial" w:hAnsi="Arial" w:cs="Arial"/>
        </w:rPr>
        <w:t>İstanbul’da açıldı.</w:t>
      </w:r>
    </w:p>
    <w:p w:rsidR="00561083" w:rsidRDefault="00561083">
      <w:pPr>
        <w:jc w:val="both"/>
        <w:rPr>
          <w:rFonts w:ascii="Arial" w:hAnsi="Arial" w:cs="Arial"/>
        </w:rPr>
      </w:pPr>
    </w:p>
    <w:p w:rsidR="00561083" w:rsidRDefault="00AC493D">
      <w:pPr>
        <w:jc w:val="both"/>
        <w:rPr>
          <w:rFonts w:ascii="Arial" w:hAnsi="Arial" w:cs="Arial"/>
        </w:rPr>
      </w:pPr>
      <w:r>
        <w:rPr>
          <w:rFonts w:ascii="Arial" w:hAnsi="Arial" w:cs="Arial"/>
        </w:rPr>
        <w:t>BNP Paribas’nın dünya çapında faaliyet gösterdiği ülkelerde kurulu olan Trade Center’lar, dış ticarette danışmanlık v</w:t>
      </w:r>
      <w:r>
        <w:rPr>
          <w:rFonts w:ascii="Arial" w:hAnsi="Arial" w:cs="Arial"/>
        </w:rPr>
        <w:t xml:space="preserve">e bankacılık desteği arayan şirketlere ilişkide bulundukları ülkelerin mevzuat ve uygulamalarına ilişkin danışmanlık hizmeti vererek, </w:t>
      </w:r>
      <w:r>
        <w:rPr>
          <w:rFonts w:ascii="Arial" w:hAnsi="Arial" w:cs="Arial"/>
          <w:noProof/>
        </w:rPr>
        <w:t>uluslararası ticaret konularına tahsis edilen uzman kadrosu ile müşterilerinin global ticaret finansmanı ihtiyaçlarını kar</w:t>
      </w:r>
      <w:r>
        <w:rPr>
          <w:rFonts w:ascii="Arial" w:hAnsi="Arial" w:cs="Arial"/>
          <w:noProof/>
        </w:rPr>
        <w:t>şılamaktadır.</w:t>
      </w:r>
    </w:p>
    <w:p w:rsidR="00561083" w:rsidRDefault="00561083">
      <w:pPr>
        <w:jc w:val="both"/>
        <w:rPr>
          <w:rFonts w:ascii="Arial" w:hAnsi="Arial" w:cs="Arial"/>
        </w:rPr>
      </w:pPr>
    </w:p>
    <w:p w:rsidR="00561083" w:rsidRDefault="00AC493D">
      <w:pPr>
        <w:pStyle w:val="Heading2"/>
        <w:rPr>
          <w:noProof/>
        </w:rPr>
      </w:pPr>
      <w:r>
        <w:rPr>
          <w:noProof/>
        </w:rPr>
        <w:t>Dış ticarette çözüm ortağı olacak</w:t>
      </w:r>
    </w:p>
    <w:p w:rsidR="00561083" w:rsidRDefault="00AC493D">
      <w:pPr>
        <w:spacing w:after="120"/>
        <w:jc w:val="both"/>
        <w:rPr>
          <w:rFonts w:ascii="Arial" w:hAnsi="Arial" w:cs="Arial"/>
          <w:noProof/>
        </w:rPr>
      </w:pPr>
      <w:r>
        <w:rPr>
          <w:rFonts w:ascii="Arial" w:hAnsi="Arial" w:cs="Arial"/>
          <w:noProof/>
        </w:rPr>
        <w:t>Dış ticaret konusunda geliştirilmiş özel ürün ve şirketlere özel çözümlerin sunulduğu Trade Center’lar, Türkiye’deki bankacılık sektöründe bir ilk olma özelliği taşıyor. Türkiye’nin dış ticaret alanında etki</w:t>
      </w:r>
      <w:r>
        <w:rPr>
          <w:rFonts w:ascii="Arial" w:hAnsi="Arial" w:cs="Arial"/>
          <w:noProof/>
        </w:rPr>
        <w:t>nliğini ve hacmini her gün biraz daha genişletmesi ve bu kapsamda çok önemli bir potansiyele sahip olması, Trade Center’ların önemini artırıyor.</w:t>
      </w:r>
    </w:p>
    <w:p w:rsidR="00561083" w:rsidRDefault="00AC493D">
      <w:pPr>
        <w:pStyle w:val="contenttext"/>
        <w:spacing w:before="0" w:beforeAutospacing="0" w:after="120" w:afterAutospacing="0"/>
        <w:jc w:val="both"/>
        <w:rPr>
          <w:color w:val="auto"/>
          <w:sz w:val="24"/>
        </w:rPr>
      </w:pPr>
      <w:r>
        <w:rPr>
          <w:color w:val="auto"/>
          <w:sz w:val="24"/>
        </w:rPr>
        <w:t>"</w:t>
      </w:r>
      <w:smartTag w:uri="urn:schemas-microsoft-com:office:smarttags" w:element="place">
        <w:smartTag w:uri="urn:schemas-microsoft-com:office:smarttags" w:element="PlaceName">
          <w:r>
            <w:rPr>
              <w:color w:val="auto"/>
              <w:sz w:val="24"/>
            </w:rPr>
            <w:t>Trade</w:t>
          </w:r>
        </w:smartTag>
        <w:r>
          <w:rPr>
            <w:color w:val="auto"/>
            <w:sz w:val="24"/>
          </w:rPr>
          <w:t xml:space="preserve"> </w:t>
        </w:r>
        <w:smartTag w:uri="urn:schemas-microsoft-com:office:smarttags" w:element="PlaceType">
          <w:r>
            <w:rPr>
              <w:color w:val="auto"/>
              <w:sz w:val="24"/>
            </w:rPr>
            <w:t>Center</w:t>
          </w:r>
        </w:smartTag>
      </w:smartTag>
      <w:r>
        <w:rPr>
          <w:color w:val="auto"/>
          <w:sz w:val="24"/>
        </w:rPr>
        <w:t>"lar şirketler için;</w:t>
      </w:r>
    </w:p>
    <w:p w:rsidR="00561083" w:rsidRDefault="00AC493D">
      <w:pPr>
        <w:pStyle w:val="contenttext"/>
        <w:numPr>
          <w:ilvl w:val="0"/>
          <w:numId w:val="5"/>
        </w:numPr>
        <w:spacing w:before="0" w:beforeAutospacing="0" w:after="0" w:afterAutospacing="0"/>
        <w:ind w:left="714" w:hanging="357"/>
        <w:jc w:val="both"/>
        <w:rPr>
          <w:color w:val="auto"/>
          <w:sz w:val="24"/>
        </w:rPr>
      </w:pPr>
      <w:r>
        <w:rPr>
          <w:color w:val="auto"/>
          <w:sz w:val="24"/>
        </w:rPr>
        <w:t>Dış ticaret finansmanında ihtiyaç duyacakları destek ve danışmanlık,</w:t>
      </w:r>
    </w:p>
    <w:p w:rsidR="00561083" w:rsidRDefault="00AC493D">
      <w:pPr>
        <w:pStyle w:val="contenttext"/>
        <w:numPr>
          <w:ilvl w:val="0"/>
          <w:numId w:val="5"/>
        </w:numPr>
        <w:spacing w:before="0" w:beforeAutospacing="0" w:after="0" w:afterAutospacing="0"/>
        <w:ind w:left="714" w:hanging="357"/>
        <w:jc w:val="both"/>
        <w:rPr>
          <w:color w:val="auto"/>
          <w:sz w:val="24"/>
        </w:rPr>
      </w:pPr>
      <w:r>
        <w:rPr>
          <w:color w:val="auto"/>
          <w:sz w:val="24"/>
        </w:rPr>
        <w:t>Dış tica</w:t>
      </w:r>
      <w:r>
        <w:rPr>
          <w:color w:val="auto"/>
          <w:sz w:val="24"/>
        </w:rPr>
        <w:t>ret işlemlerinin operasyonunda en üst düzeyde kalite,</w:t>
      </w:r>
    </w:p>
    <w:p w:rsidR="00561083" w:rsidRDefault="00AC493D">
      <w:pPr>
        <w:numPr>
          <w:ilvl w:val="0"/>
          <w:numId w:val="4"/>
        </w:numPr>
        <w:ind w:left="714" w:hanging="357"/>
        <w:jc w:val="both"/>
        <w:rPr>
          <w:rFonts w:ascii="Arial" w:hAnsi="Arial" w:cs="Arial"/>
          <w:szCs w:val="20"/>
        </w:rPr>
      </w:pPr>
      <w:r>
        <w:rPr>
          <w:rFonts w:ascii="Arial" w:hAnsi="Arial" w:cs="Arial"/>
          <w:szCs w:val="20"/>
        </w:rPr>
        <w:t>Türkiye ve dünyadaki "Trade Center"lar arasındaki direkt iletişim sayesinde global bir bakış açısı,</w:t>
      </w:r>
    </w:p>
    <w:p w:rsidR="00561083" w:rsidRDefault="00AC493D">
      <w:pPr>
        <w:numPr>
          <w:ilvl w:val="0"/>
          <w:numId w:val="4"/>
        </w:numPr>
        <w:ind w:left="714" w:hanging="357"/>
        <w:jc w:val="both"/>
        <w:rPr>
          <w:rFonts w:ascii="Arial" w:hAnsi="Arial" w:cs="Arial"/>
          <w:szCs w:val="20"/>
        </w:rPr>
      </w:pPr>
      <w:r>
        <w:rPr>
          <w:rFonts w:ascii="Arial" w:hAnsi="Arial" w:cs="Arial"/>
          <w:szCs w:val="20"/>
        </w:rPr>
        <w:t>Karmaşık dış ticaret finansmanı işlemlerinde şirketlere özel çözümler,</w:t>
      </w:r>
    </w:p>
    <w:p w:rsidR="00561083" w:rsidRDefault="00AC493D">
      <w:pPr>
        <w:numPr>
          <w:ilvl w:val="0"/>
          <w:numId w:val="4"/>
        </w:numPr>
        <w:ind w:left="714" w:hanging="357"/>
        <w:jc w:val="both"/>
        <w:rPr>
          <w:rFonts w:ascii="Arial" w:hAnsi="Arial" w:cs="Arial"/>
          <w:szCs w:val="20"/>
        </w:rPr>
      </w:pPr>
      <w:r>
        <w:rPr>
          <w:rFonts w:ascii="Arial" w:hAnsi="Arial" w:cs="Arial"/>
          <w:szCs w:val="20"/>
        </w:rPr>
        <w:t>Doğrudan Trade Center dış ticar</w:t>
      </w:r>
      <w:r>
        <w:rPr>
          <w:rFonts w:ascii="Arial" w:hAnsi="Arial" w:cs="Arial"/>
          <w:szCs w:val="20"/>
        </w:rPr>
        <w:t>et finansmanı uzmanları tarafından gerçekleştirilecek ziyaretler,</w:t>
      </w:r>
    </w:p>
    <w:p w:rsidR="00561083" w:rsidRDefault="00AC493D">
      <w:pPr>
        <w:numPr>
          <w:ilvl w:val="0"/>
          <w:numId w:val="4"/>
        </w:numPr>
        <w:ind w:left="714" w:hanging="357"/>
        <w:jc w:val="both"/>
        <w:rPr>
          <w:rFonts w:ascii="Arial" w:hAnsi="Arial" w:cs="Arial"/>
          <w:szCs w:val="20"/>
        </w:rPr>
      </w:pPr>
      <w:r>
        <w:rPr>
          <w:rFonts w:ascii="Arial" w:hAnsi="Arial" w:cs="Arial"/>
          <w:szCs w:val="20"/>
        </w:rPr>
        <w:t>Şirketlerin uzmanlarla doğrudan iletişim imkanı,</w:t>
      </w:r>
    </w:p>
    <w:p w:rsidR="00561083" w:rsidRDefault="00AC493D">
      <w:pPr>
        <w:numPr>
          <w:ilvl w:val="0"/>
          <w:numId w:val="4"/>
        </w:numPr>
        <w:ind w:left="714" w:hanging="357"/>
        <w:jc w:val="both"/>
      </w:pPr>
      <w:r>
        <w:rPr>
          <w:rFonts w:ascii="Arial" w:hAnsi="Arial" w:cs="Arial"/>
        </w:rPr>
        <w:t xml:space="preserve">En gelişmiş teknolojik ürünlerin dış ticaretin finansmanı alanında kullanılması, </w:t>
      </w:r>
    </w:p>
    <w:p w:rsidR="00561083" w:rsidRDefault="00AC493D">
      <w:pPr>
        <w:spacing w:before="100" w:beforeAutospacing="1" w:after="100" w:afterAutospacing="1"/>
        <w:ind w:firstLine="360"/>
        <w:jc w:val="both"/>
      </w:pPr>
      <w:r>
        <w:rPr>
          <w:rFonts w:ascii="Arial" w:hAnsi="Arial" w:cs="Arial"/>
        </w:rPr>
        <w:t>anlamına gelmektedir.</w:t>
      </w:r>
    </w:p>
    <w:p w:rsidR="00561083" w:rsidRDefault="00561083">
      <w:pPr>
        <w:jc w:val="both"/>
        <w:rPr>
          <w:rFonts w:ascii="Arial" w:hAnsi="Arial" w:cs="Arial"/>
          <w:noProof/>
        </w:rPr>
      </w:pPr>
    </w:p>
    <w:p w:rsidR="00561083" w:rsidRDefault="00AC493D">
      <w:pPr>
        <w:jc w:val="both"/>
        <w:rPr>
          <w:rFonts w:ascii="Arial" w:hAnsi="Arial" w:cs="Arial"/>
          <w:noProof/>
        </w:rPr>
      </w:pPr>
      <w:r>
        <w:rPr>
          <w:rFonts w:ascii="Arial" w:hAnsi="Arial" w:cs="Arial"/>
          <w:noProof/>
        </w:rPr>
        <w:t xml:space="preserve">Dış ticaret konusunda uzman bir kurumdan destek almak isteyen tüm şirketler, Trade Center’ın bu alandaki uzmanlığından yararlanabilecek. </w:t>
      </w:r>
    </w:p>
    <w:p w:rsidR="00561083" w:rsidRDefault="00561083">
      <w:pPr>
        <w:jc w:val="both"/>
        <w:rPr>
          <w:rFonts w:ascii="Arial" w:hAnsi="Arial" w:cs="Arial"/>
          <w:noProof/>
        </w:rPr>
      </w:pPr>
    </w:p>
    <w:p w:rsidR="00561083" w:rsidRDefault="00AC493D">
      <w:pPr>
        <w:jc w:val="both"/>
        <w:rPr>
          <w:rFonts w:ascii="Arial" w:hAnsi="Arial" w:cs="Arial"/>
          <w:noProof/>
        </w:rPr>
      </w:pPr>
      <w:r>
        <w:rPr>
          <w:rFonts w:ascii="Arial" w:hAnsi="Arial" w:cs="Arial"/>
        </w:rPr>
        <w:t xml:space="preserve">İlki İstanbul’da açılan ve ikincisi de 7 Haziran 2005 tarihinde İzmir’de hizmete girecek olan Trade Center’ların yakın zamanda </w:t>
      </w:r>
      <w:r>
        <w:rPr>
          <w:rFonts w:ascii="Arial" w:hAnsi="Arial" w:cs="Arial"/>
          <w:noProof/>
        </w:rPr>
        <w:t xml:space="preserve">Adana’da açılması ve tüm Türkiye çapında yaygınlaştırılması amaçlanıyor. </w:t>
      </w:r>
    </w:p>
    <w:p w:rsidR="00561083" w:rsidRDefault="00561083">
      <w:pPr>
        <w:pStyle w:val="BodyText"/>
        <w:rPr>
          <w:b/>
          <w:bCs/>
          <w:color w:val="auto"/>
          <w:sz w:val="22"/>
        </w:rPr>
      </w:pPr>
    </w:p>
    <w:p w:rsidR="00561083" w:rsidRDefault="00AC493D">
      <w:pPr>
        <w:rPr>
          <w:rFonts w:cs="Arial"/>
          <w:b/>
          <w:sz w:val="20"/>
          <w:szCs w:val="20"/>
        </w:rPr>
      </w:pPr>
      <w:r>
        <w:rPr>
          <w:rFonts w:cs="Arial"/>
          <w:b/>
          <w:sz w:val="20"/>
          <w:szCs w:val="20"/>
        </w:rPr>
        <w:t>Bilgi için:</w:t>
      </w:r>
    </w:p>
    <w:p w:rsidR="00561083" w:rsidRDefault="00561083">
      <w:pPr>
        <w:rPr>
          <w:rFonts w:cs="Arial"/>
          <w:b/>
          <w:sz w:val="20"/>
          <w:szCs w:val="20"/>
        </w:rPr>
      </w:pPr>
    </w:p>
    <w:p w:rsidR="00561083" w:rsidRDefault="00AC493D">
      <w:pPr>
        <w:rPr>
          <w:rFonts w:ascii="Arial" w:hAnsi="Arial" w:cs="Arial"/>
          <w:sz w:val="20"/>
          <w:szCs w:val="20"/>
        </w:rPr>
      </w:pPr>
      <w:r>
        <w:rPr>
          <w:rFonts w:ascii="Arial" w:hAnsi="Arial" w:cs="Arial"/>
          <w:sz w:val="20"/>
          <w:szCs w:val="20"/>
        </w:rPr>
        <w:t xml:space="preserve">Türk Ekonomi Bankası </w:t>
      </w:r>
    </w:p>
    <w:p w:rsidR="00561083" w:rsidRDefault="00AC493D">
      <w:pPr>
        <w:rPr>
          <w:rFonts w:ascii="Arial" w:hAnsi="Arial" w:cs="Arial"/>
          <w:sz w:val="20"/>
          <w:szCs w:val="20"/>
        </w:rPr>
      </w:pPr>
      <w:r>
        <w:rPr>
          <w:rFonts w:ascii="Arial" w:hAnsi="Arial" w:cs="Arial"/>
          <w:sz w:val="20"/>
          <w:szCs w:val="20"/>
        </w:rPr>
        <w:t xml:space="preserve">Altan Erüs </w:t>
      </w:r>
      <w:r>
        <w:rPr>
          <w:rFonts w:ascii="Arial" w:hAnsi="Arial" w:cs="Arial"/>
          <w:sz w:val="20"/>
          <w:szCs w:val="20"/>
        </w:rPr>
        <w:tab/>
      </w:r>
      <w:hyperlink r:id="rId6" w:history="1">
        <w:r>
          <w:rPr>
            <w:rStyle w:val="Hyperlink"/>
            <w:rFonts w:ascii="Arial" w:hAnsi="Arial" w:cs="Arial"/>
            <w:sz w:val="20"/>
            <w:szCs w:val="20"/>
          </w:rPr>
          <w:t>altan.erus@teb.com.tr</w:t>
        </w:r>
      </w:hyperlink>
      <w:r>
        <w:rPr>
          <w:rFonts w:ascii="Arial" w:hAnsi="Arial" w:cs="Arial"/>
          <w:sz w:val="20"/>
          <w:szCs w:val="20"/>
        </w:rPr>
        <w:t xml:space="preserve">       (212) 251 21 21 dahili 5319</w:t>
      </w:r>
    </w:p>
    <w:p w:rsidR="00561083" w:rsidRDefault="00AC493D">
      <w:pPr>
        <w:rPr>
          <w:rFonts w:ascii="Arial" w:hAnsi="Arial" w:cs="Arial"/>
          <w:sz w:val="20"/>
          <w:szCs w:val="20"/>
        </w:rPr>
      </w:pPr>
      <w:r>
        <w:rPr>
          <w:rFonts w:ascii="Arial" w:hAnsi="Arial" w:cs="Arial"/>
          <w:sz w:val="20"/>
          <w:szCs w:val="20"/>
        </w:rPr>
        <w:t>Buket Eroğlu</w:t>
      </w:r>
      <w:r>
        <w:rPr>
          <w:rFonts w:ascii="Arial" w:hAnsi="Arial" w:cs="Arial"/>
          <w:sz w:val="20"/>
          <w:szCs w:val="20"/>
        </w:rPr>
        <w:tab/>
      </w:r>
      <w:hyperlink r:id="rId7" w:history="1">
        <w:r>
          <w:rPr>
            <w:rStyle w:val="Hyperlink"/>
            <w:rFonts w:ascii="Arial" w:hAnsi="Arial" w:cs="Arial"/>
            <w:sz w:val="20"/>
            <w:szCs w:val="20"/>
          </w:rPr>
          <w:t>buket.eroglu@teb.com.tr</w:t>
        </w:r>
      </w:hyperlink>
      <w:r>
        <w:rPr>
          <w:rFonts w:ascii="Arial" w:hAnsi="Arial" w:cs="Arial"/>
          <w:sz w:val="20"/>
          <w:szCs w:val="20"/>
        </w:rPr>
        <w:t xml:space="preserve">   (212) 251 21 21 dahili 5318</w:t>
      </w:r>
    </w:p>
    <w:p w:rsidR="00561083" w:rsidRDefault="00AC493D">
      <w:pPr>
        <w:rPr>
          <w:rFonts w:ascii="Arial" w:hAnsi="Arial" w:cs="Arial"/>
          <w:sz w:val="20"/>
          <w:szCs w:val="20"/>
        </w:rPr>
      </w:pPr>
      <w:r>
        <w:rPr>
          <w:rFonts w:ascii="Arial" w:hAnsi="Arial" w:cs="Arial"/>
          <w:sz w:val="20"/>
          <w:szCs w:val="20"/>
        </w:rPr>
        <w:t>Elif Turmuş</w:t>
      </w:r>
      <w:r>
        <w:rPr>
          <w:rFonts w:ascii="Arial" w:hAnsi="Arial" w:cs="Arial"/>
          <w:sz w:val="20"/>
          <w:szCs w:val="20"/>
        </w:rPr>
        <w:tab/>
      </w:r>
      <w:hyperlink r:id="rId8" w:history="1">
        <w:r>
          <w:rPr>
            <w:rStyle w:val="Hyperlink"/>
            <w:rFonts w:ascii="Arial" w:hAnsi="Arial" w:cs="Arial"/>
            <w:sz w:val="20"/>
            <w:szCs w:val="20"/>
          </w:rPr>
          <w:t>elif.turmus@teb.com.tr</w:t>
        </w:r>
      </w:hyperlink>
      <w:r>
        <w:rPr>
          <w:rFonts w:ascii="Arial" w:hAnsi="Arial" w:cs="Arial"/>
          <w:sz w:val="20"/>
          <w:szCs w:val="20"/>
        </w:rPr>
        <w:tab/>
        <w:t xml:space="preserve">    (212) 251 21 21 dahili 5322</w:t>
      </w:r>
    </w:p>
    <w:p w:rsidR="00561083" w:rsidRDefault="00561083"/>
    <w:p w:rsidR="00561083" w:rsidRDefault="00561083">
      <w:pPr>
        <w:pStyle w:val="BodyText"/>
        <w:rPr>
          <w:b/>
          <w:bCs/>
          <w:color w:val="auto"/>
          <w:sz w:val="22"/>
        </w:rPr>
      </w:pPr>
    </w:p>
    <w:sectPr w:rsidR="00561083">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1AA6"/>
    <w:multiLevelType w:val="hybridMultilevel"/>
    <w:tmpl w:val="F3186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CF54C2"/>
    <w:multiLevelType w:val="hybridMultilevel"/>
    <w:tmpl w:val="154A12EC"/>
    <w:lvl w:ilvl="0" w:tplc="BF780856">
      <w:numFmt w:val="bullet"/>
      <w:lvlText w:val="-"/>
      <w:lvlJc w:val="left"/>
      <w:pPr>
        <w:tabs>
          <w:tab w:val="num" w:pos="720"/>
        </w:tabs>
        <w:ind w:left="720" w:hanging="360"/>
      </w:pPr>
      <w:rPr>
        <w:rFonts w:ascii="Times New Roman" w:eastAsia="Times New Roman" w:hAnsi="Times New Roman" w:cs="Times New Roman" w:hint="default"/>
      </w:rPr>
    </w:lvl>
    <w:lvl w:ilvl="1" w:tplc="C19E58A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8A1CFD"/>
    <w:multiLevelType w:val="hybridMultilevel"/>
    <w:tmpl w:val="B1D00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3F26142"/>
    <w:multiLevelType w:val="hybridMultilevel"/>
    <w:tmpl w:val="F3F0F08E"/>
    <w:lvl w:ilvl="0" w:tplc="14149662">
      <w:start w:val="1"/>
      <w:numFmt w:val="bullet"/>
      <w:lvlText w:val=""/>
      <w:lvlJc w:val="left"/>
      <w:pPr>
        <w:tabs>
          <w:tab w:val="num" w:pos="720"/>
        </w:tabs>
        <w:ind w:left="720" w:hanging="360"/>
      </w:pPr>
      <w:rPr>
        <w:rFonts w:ascii="Symbol" w:hAnsi="Symbol" w:hint="default"/>
        <w:sz w:val="20"/>
      </w:rPr>
    </w:lvl>
    <w:lvl w:ilvl="1" w:tplc="C8A2AAE0" w:tentative="1">
      <w:start w:val="1"/>
      <w:numFmt w:val="bullet"/>
      <w:lvlText w:val="o"/>
      <w:lvlJc w:val="left"/>
      <w:pPr>
        <w:tabs>
          <w:tab w:val="num" w:pos="1440"/>
        </w:tabs>
        <w:ind w:left="1440" w:hanging="360"/>
      </w:pPr>
      <w:rPr>
        <w:rFonts w:ascii="Courier New" w:hAnsi="Courier New" w:hint="default"/>
        <w:sz w:val="20"/>
      </w:rPr>
    </w:lvl>
    <w:lvl w:ilvl="2" w:tplc="CA0A9636" w:tentative="1">
      <w:start w:val="1"/>
      <w:numFmt w:val="bullet"/>
      <w:lvlText w:val=""/>
      <w:lvlJc w:val="left"/>
      <w:pPr>
        <w:tabs>
          <w:tab w:val="num" w:pos="2160"/>
        </w:tabs>
        <w:ind w:left="2160" w:hanging="360"/>
      </w:pPr>
      <w:rPr>
        <w:rFonts w:ascii="Wingdings" w:hAnsi="Wingdings" w:hint="default"/>
        <w:sz w:val="20"/>
      </w:rPr>
    </w:lvl>
    <w:lvl w:ilvl="3" w:tplc="2CF29F3E" w:tentative="1">
      <w:start w:val="1"/>
      <w:numFmt w:val="bullet"/>
      <w:lvlText w:val=""/>
      <w:lvlJc w:val="left"/>
      <w:pPr>
        <w:tabs>
          <w:tab w:val="num" w:pos="2880"/>
        </w:tabs>
        <w:ind w:left="2880" w:hanging="360"/>
      </w:pPr>
      <w:rPr>
        <w:rFonts w:ascii="Wingdings" w:hAnsi="Wingdings" w:hint="default"/>
        <w:sz w:val="20"/>
      </w:rPr>
    </w:lvl>
    <w:lvl w:ilvl="4" w:tplc="BA6E8644" w:tentative="1">
      <w:start w:val="1"/>
      <w:numFmt w:val="bullet"/>
      <w:lvlText w:val=""/>
      <w:lvlJc w:val="left"/>
      <w:pPr>
        <w:tabs>
          <w:tab w:val="num" w:pos="3600"/>
        </w:tabs>
        <w:ind w:left="3600" w:hanging="360"/>
      </w:pPr>
      <w:rPr>
        <w:rFonts w:ascii="Wingdings" w:hAnsi="Wingdings" w:hint="default"/>
        <w:sz w:val="20"/>
      </w:rPr>
    </w:lvl>
    <w:lvl w:ilvl="5" w:tplc="3E103CCC" w:tentative="1">
      <w:start w:val="1"/>
      <w:numFmt w:val="bullet"/>
      <w:lvlText w:val=""/>
      <w:lvlJc w:val="left"/>
      <w:pPr>
        <w:tabs>
          <w:tab w:val="num" w:pos="4320"/>
        </w:tabs>
        <w:ind w:left="4320" w:hanging="360"/>
      </w:pPr>
      <w:rPr>
        <w:rFonts w:ascii="Wingdings" w:hAnsi="Wingdings" w:hint="default"/>
        <w:sz w:val="20"/>
      </w:rPr>
    </w:lvl>
    <w:lvl w:ilvl="6" w:tplc="B308D166" w:tentative="1">
      <w:start w:val="1"/>
      <w:numFmt w:val="bullet"/>
      <w:lvlText w:val=""/>
      <w:lvlJc w:val="left"/>
      <w:pPr>
        <w:tabs>
          <w:tab w:val="num" w:pos="5040"/>
        </w:tabs>
        <w:ind w:left="5040" w:hanging="360"/>
      </w:pPr>
      <w:rPr>
        <w:rFonts w:ascii="Wingdings" w:hAnsi="Wingdings" w:hint="default"/>
        <w:sz w:val="20"/>
      </w:rPr>
    </w:lvl>
    <w:lvl w:ilvl="7" w:tplc="DEE0BC12" w:tentative="1">
      <w:start w:val="1"/>
      <w:numFmt w:val="bullet"/>
      <w:lvlText w:val=""/>
      <w:lvlJc w:val="left"/>
      <w:pPr>
        <w:tabs>
          <w:tab w:val="num" w:pos="5760"/>
        </w:tabs>
        <w:ind w:left="5760" w:hanging="360"/>
      </w:pPr>
      <w:rPr>
        <w:rFonts w:ascii="Wingdings" w:hAnsi="Wingdings" w:hint="default"/>
        <w:sz w:val="20"/>
      </w:rPr>
    </w:lvl>
    <w:lvl w:ilvl="8" w:tplc="910CFDD2" w:tentative="1">
      <w:start w:val="1"/>
      <w:numFmt w:val="bullet"/>
      <w:lvlText w:val=""/>
      <w:lvlJc w:val="left"/>
      <w:pPr>
        <w:tabs>
          <w:tab w:val="num" w:pos="6480"/>
        </w:tabs>
        <w:ind w:left="6480" w:hanging="360"/>
      </w:pPr>
      <w:rPr>
        <w:rFonts w:ascii="Wingdings" w:hAnsi="Wingdings" w:hint="default"/>
        <w:sz w:val="20"/>
      </w:rPr>
    </w:lvl>
  </w:abstractNum>
  <w:abstractNum w:abstractNumId="4">
    <w:nsid w:val="73195084"/>
    <w:multiLevelType w:val="hybridMultilevel"/>
    <w:tmpl w:val="18B07372"/>
    <w:lvl w:ilvl="0" w:tplc="041F000F">
      <w:start w:val="1"/>
      <w:numFmt w:val="decimal"/>
      <w:lvlText w:val="%1."/>
      <w:lvlJc w:val="left"/>
      <w:pPr>
        <w:tabs>
          <w:tab w:val="num" w:pos="720"/>
        </w:tabs>
        <w:ind w:left="720" w:hanging="360"/>
      </w:pPr>
      <w:rPr>
        <w:rFonts w:hint="default"/>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5A7"/>
    <w:rsid w:val="002956CE"/>
    <w:rsid w:val="00392C9D"/>
    <w:rsid w:val="003965A7"/>
    <w:rsid w:val="00535153"/>
    <w:rsid w:val="00561083"/>
    <w:rsid w:val="00737BBE"/>
    <w:rsid w:val="00AC49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paragraph" w:styleId="Heading3">
    <w:name w:val="heading 3"/>
    <w:basedOn w:val="Normal"/>
    <w:next w:val="Normal"/>
    <w:qFormat/>
    <w:pPr>
      <w:keepNext/>
      <w:jc w:val="center"/>
      <w:outlineLvl w:val="2"/>
    </w:pPr>
    <w:rPr>
      <w:rFonts w:ascii="Arial" w:hAnsi="Arial"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rFonts w:ascii="Verdana" w:hAnsi="Verdana" w:hint="default"/>
      <w:color w:val="000000"/>
      <w:sz w:val="15"/>
      <w:szCs w:val="15"/>
      <w:u w:val="single"/>
    </w:rPr>
  </w:style>
  <w:style w:type="paragraph" w:styleId="BodyText">
    <w:name w:val="Body Text"/>
    <w:basedOn w:val="Normal"/>
    <w:pPr>
      <w:jc w:val="both"/>
    </w:pPr>
    <w:rPr>
      <w:rFonts w:ascii="Arial" w:hAnsi="Arial" w:cs="Arial"/>
      <w:color w:val="000000"/>
      <w:szCs w:val="15"/>
    </w:rPr>
  </w:style>
  <w:style w:type="paragraph" w:styleId="BodyText2">
    <w:name w:val="Body Text 2"/>
    <w:basedOn w:val="Normal"/>
    <w:pPr>
      <w:jc w:val="center"/>
    </w:pPr>
    <w:rPr>
      <w:rFonts w:ascii="Arial" w:hAnsi="Arial" w:cs="Arial"/>
      <w:b/>
      <w:bCs/>
      <w:sz w:val="56"/>
    </w:rPr>
  </w:style>
  <w:style w:type="paragraph" w:styleId="BodyText3">
    <w:name w:val="Body Text 3"/>
    <w:basedOn w:val="Normal"/>
    <w:pPr>
      <w:jc w:val="center"/>
    </w:pPr>
    <w:rPr>
      <w:rFonts w:ascii="Arial" w:hAnsi="Arial" w:cs="Arial"/>
      <w:sz w:val="28"/>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paragraph" w:styleId="Heading3">
    <w:name w:val="heading 3"/>
    <w:basedOn w:val="Normal"/>
    <w:next w:val="Normal"/>
    <w:qFormat/>
    <w:pPr>
      <w:keepNext/>
      <w:jc w:val="center"/>
      <w:outlineLvl w:val="2"/>
    </w:pPr>
    <w:rPr>
      <w:rFonts w:ascii="Arial" w:hAnsi="Arial"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rFonts w:ascii="Verdana" w:hAnsi="Verdana" w:hint="default"/>
      <w:color w:val="000000"/>
      <w:sz w:val="15"/>
      <w:szCs w:val="15"/>
      <w:u w:val="single"/>
    </w:rPr>
  </w:style>
  <w:style w:type="paragraph" w:styleId="BodyText">
    <w:name w:val="Body Text"/>
    <w:basedOn w:val="Normal"/>
    <w:pPr>
      <w:jc w:val="both"/>
    </w:pPr>
    <w:rPr>
      <w:rFonts w:ascii="Arial" w:hAnsi="Arial" w:cs="Arial"/>
      <w:color w:val="000000"/>
      <w:szCs w:val="15"/>
    </w:rPr>
  </w:style>
  <w:style w:type="paragraph" w:styleId="BodyText2">
    <w:name w:val="Body Text 2"/>
    <w:basedOn w:val="Normal"/>
    <w:pPr>
      <w:jc w:val="center"/>
    </w:pPr>
    <w:rPr>
      <w:rFonts w:ascii="Arial" w:hAnsi="Arial" w:cs="Arial"/>
      <w:b/>
      <w:bCs/>
      <w:sz w:val="56"/>
    </w:rPr>
  </w:style>
  <w:style w:type="paragraph" w:styleId="BodyText3">
    <w:name w:val="Body Text 3"/>
    <w:basedOn w:val="Normal"/>
    <w:pPr>
      <w:jc w:val="center"/>
    </w:pPr>
    <w:rPr>
      <w:rFonts w:ascii="Arial" w:hAnsi="Arial" w:cs="Arial"/>
      <w:sz w:val="28"/>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lif.turmus@teb.com.tr" TargetMode="External"/><Relationship Id="rId3" Type="http://schemas.microsoft.com/office/2007/relationships/stylesWithEffects" Target="stylesWithEffects.xml"/><Relationship Id="rId7" Type="http://schemas.openxmlformats.org/officeDocument/2006/relationships/hyperlink" Target="mailto:buket.eroglu@teb.com.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tan.erus@teb.com.t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420</Words>
  <Characters>2394</Characters>
  <Application>Microsoft Office Word</Application>
  <DocSecurity>4</DocSecurity>
  <Lines>19</Lines>
  <Paragraphs>5</Paragraphs>
  <ScaleCrop>false</ScaleCrop>
  <Company>BNP Paribas</Company>
  <LinksUpToDate>false</LinksUpToDate>
  <CharactersWithSpaces>2809</CharactersWithSpaces>
  <SharedDoc>false</SharedDoc>
  <HLinks>
    <vt:vector size="18" baseType="variant">
      <vt:variant>
        <vt:i4>4653177</vt:i4>
      </vt:variant>
      <vt:variant>
        <vt:i4>6</vt:i4>
      </vt:variant>
      <vt:variant>
        <vt:i4>0</vt:i4>
      </vt:variant>
      <vt:variant>
        <vt:i4>5</vt:i4>
      </vt:variant>
      <vt:variant>
        <vt:lpwstr>mailto:elif.turmus@teb.com.tr</vt:lpwstr>
      </vt:variant>
      <vt:variant>
        <vt:lpwstr>
        </vt:lpwstr>
      </vt:variant>
      <vt:variant>
        <vt:i4>4259960</vt:i4>
      </vt:variant>
      <vt:variant>
        <vt:i4>3</vt:i4>
      </vt:variant>
      <vt:variant>
        <vt:i4>0</vt:i4>
      </vt:variant>
      <vt:variant>
        <vt:i4>5</vt:i4>
      </vt:variant>
      <vt:variant>
        <vt:lpwstr>mailto:buket.eroglu@teb.com.tr</vt:lpwstr>
      </vt:variant>
      <vt:variant>
        <vt:lpwstr>
        </vt:lpwstr>
      </vt:variant>
      <vt:variant>
        <vt:i4>3211268</vt:i4>
      </vt:variant>
      <vt:variant>
        <vt:i4>0</vt:i4>
      </vt:variant>
      <vt:variant>
        <vt:i4>0</vt:i4>
      </vt:variant>
      <vt:variant>
        <vt:i4>5</vt:i4>
      </vt:variant>
      <vt:variant>
        <vt:lpwstr>mailto:altan.erus@teb.com.tr</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2016-11-25T08:56:00Z</dcterms:created>
  <dcterms:modified xsi:type="dcterms:W3CDTF">2016-11-25T08:56:00Z</dcterms:modified>
</cp:coreProperties>
</file>