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253" w:rsidRDefault="00A35816">
      <w:pPr>
        <w:jc w:val="center"/>
        <w:rPr>
          <w:b/>
          <w:sz w:val="24"/>
          <w:szCs w:val="24"/>
        </w:rPr>
      </w:pPr>
      <w:bookmarkStart w:id="0" w:name="_GoBack"/>
      <w:bookmarkEnd w:id="0"/>
      <w:r>
        <w:rPr>
          <w:b/>
          <w:sz w:val="24"/>
          <w:szCs w:val="24"/>
        </w:rPr>
        <w:t>TÜRK EKONOMİ BANKASI A.Ş. B TİPİ %100 ANAPARA KORUMA AMAÇLI BİRİNCİ YATIRIM FONU İÇTÜZÜĞÜ</w:t>
      </w:r>
    </w:p>
    <w:p w:rsidR="00142253" w:rsidRDefault="00142253">
      <w:pPr>
        <w:ind w:right="-1"/>
        <w:jc w:val="center"/>
        <w:rPr>
          <w:b/>
          <w:sz w:val="24"/>
          <w:szCs w:val="24"/>
        </w:rPr>
      </w:pPr>
    </w:p>
    <w:p w:rsidR="00142253" w:rsidRDefault="00A35816">
      <w:pPr>
        <w:rPr>
          <w:sz w:val="24"/>
          <w:szCs w:val="24"/>
          <w:u w:val="single"/>
        </w:rPr>
      </w:pPr>
      <w:r>
        <w:rPr>
          <w:b/>
          <w:sz w:val="24"/>
          <w:szCs w:val="24"/>
          <w:u w:val="single"/>
        </w:rPr>
        <w:t>MADDE 1- FONUN KURULUŞ AMACI:</w:t>
      </w:r>
    </w:p>
    <w:p w:rsidR="00142253" w:rsidRDefault="00142253">
      <w:pPr>
        <w:jc w:val="both"/>
        <w:rPr>
          <w:sz w:val="24"/>
          <w:szCs w:val="24"/>
          <w:u w:val="single"/>
        </w:rPr>
      </w:pPr>
    </w:p>
    <w:p w:rsidR="00142253" w:rsidRDefault="00A35816">
      <w:pPr>
        <w:jc w:val="both"/>
        <w:rPr>
          <w:sz w:val="24"/>
          <w:szCs w:val="24"/>
        </w:rPr>
      </w:pPr>
      <w:r>
        <w:rPr>
          <w:b/>
          <w:sz w:val="24"/>
          <w:szCs w:val="24"/>
        </w:rPr>
        <w:t xml:space="preserve">1.1 </w:t>
      </w:r>
      <w:r>
        <w:rPr>
          <w:sz w:val="24"/>
          <w:szCs w:val="24"/>
        </w:rPr>
        <w:t>Türk Ekonomi Bankası A.Ş.</w:t>
      </w:r>
      <w:r>
        <w:rPr>
          <w:b/>
          <w:sz w:val="24"/>
          <w:szCs w:val="24"/>
        </w:rPr>
        <w:t xml:space="preserve"> </w:t>
      </w:r>
      <w:r>
        <w:rPr>
          <w:sz w:val="24"/>
          <w:szCs w:val="24"/>
        </w:rPr>
        <w:t>tarafından 2499 sayılı Sermaye Piyasası Kanunu'nun 37 ve 38'inci maddelerine dayanılarak ve bu içtüzük hükümlerine göre yönetilmek üzere halktan katılma payları karşılığı toplanacak paralarla, katılma payları sahipleri hesabına, riskin dağıtılması ve inanç</w:t>
      </w:r>
      <w:r>
        <w:rPr>
          <w:sz w:val="24"/>
          <w:szCs w:val="24"/>
        </w:rPr>
        <w:t>lı mülkiyet esaslarına göre sermaye piyasası araçlarından, ters repo ve opsiyon sözleşmelerinden oluşan portföyü işletmek amacıyla Türk Ekonomi Bankası A.Ş. B Tipi %100 Anapara Koruma Amaçlı Birinci Yatırım Fonu kurulmuştur.</w:t>
      </w:r>
    </w:p>
    <w:p w:rsidR="00142253" w:rsidRDefault="00142253">
      <w:pPr>
        <w:jc w:val="both"/>
        <w:rPr>
          <w:sz w:val="24"/>
          <w:szCs w:val="24"/>
        </w:rPr>
      </w:pPr>
    </w:p>
    <w:p w:rsidR="00142253" w:rsidRDefault="00A35816">
      <w:pPr>
        <w:jc w:val="both"/>
        <w:rPr>
          <w:sz w:val="24"/>
          <w:szCs w:val="24"/>
        </w:rPr>
      </w:pPr>
      <w:r>
        <w:rPr>
          <w:sz w:val="24"/>
          <w:szCs w:val="24"/>
        </w:rPr>
        <w:t>Yatırımcının başlangıç yatırım</w:t>
      </w:r>
      <w:r>
        <w:rPr>
          <w:sz w:val="24"/>
          <w:szCs w:val="24"/>
        </w:rPr>
        <w:t>ının belirli bir bölümünün, tamamının ya da başlangıç yatırımının üzerinde belirli bir getirinin içtüzükte ve izahnamede belirlenen esaslar çerçevesinde belirli vade ya da vadelerde yatırımcıya geri ödenmesinin, uygun bir yatırım stratejisine dayanılarak e</w:t>
      </w:r>
      <w:r>
        <w:rPr>
          <w:sz w:val="24"/>
          <w:szCs w:val="24"/>
        </w:rPr>
        <w:t xml:space="preserve">n iyi gayret esası çerçevesinde amaçlandığı fonlar “KORUMA AMAÇLI </w:t>
      </w:r>
      <w:smartTag w:uri="urn:schemas-microsoft-com:office:smarttags" w:element="stockticker">
        <w:r>
          <w:rPr>
            <w:sz w:val="24"/>
            <w:szCs w:val="24"/>
          </w:rPr>
          <w:t>FON</w:t>
        </w:r>
      </w:smartTag>
      <w:r>
        <w:rPr>
          <w:sz w:val="24"/>
          <w:szCs w:val="24"/>
        </w:rPr>
        <w:t>” olarak adlandırılır.</w:t>
      </w:r>
    </w:p>
    <w:p w:rsidR="00142253" w:rsidRDefault="00142253">
      <w:pPr>
        <w:jc w:val="both"/>
        <w:rPr>
          <w:sz w:val="24"/>
          <w:szCs w:val="24"/>
        </w:rPr>
      </w:pPr>
    </w:p>
    <w:p w:rsidR="00142253" w:rsidRDefault="00A35816">
      <w:pPr>
        <w:ind w:right="-51"/>
        <w:jc w:val="both"/>
        <w:rPr>
          <w:sz w:val="24"/>
          <w:szCs w:val="24"/>
        </w:rPr>
      </w:pPr>
      <w:r>
        <w:rPr>
          <w:b/>
          <w:sz w:val="24"/>
          <w:szCs w:val="24"/>
        </w:rPr>
        <w:t>1.2</w:t>
      </w:r>
      <w:r>
        <w:rPr>
          <w:sz w:val="24"/>
          <w:szCs w:val="24"/>
        </w:rPr>
        <w:t xml:space="preserve">. Bu içtüzükte Türk Ekonomi Bankası A.Ş. “KURUCU”,  TEB Portföy Yönetimi A.Ş. “YÖNETİCİ”,  İMKB Takas ve Saklama Bankası A.Ş. “SAKLAYICI KURULUŞ”, Türk Ekonomi </w:t>
      </w:r>
      <w:r>
        <w:rPr>
          <w:sz w:val="24"/>
          <w:szCs w:val="24"/>
        </w:rPr>
        <w:t>Bankası A.Ş. B Tipi %100 Anapara Koruma Amaçlı Birinci Yatırım Fonu “FON”, Sermaye Piyasası Kurulu “KURUL”, Sermaye Piyasası Kurulu’nun Seri:VII, No:10 sayılı Yatırım Fonlarına İlişkin Esaslar Tebliği ile ek ve değişiklikleri ise “TEBLİĞ” olarak ifade edil</w:t>
      </w:r>
      <w:r>
        <w:rPr>
          <w:sz w:val="24"/>
          <w:szCs w:val="24"/>
        </w:rPr>
        <w:t>ecektir.</w:t>
      </w:r>
    </w:p>
    <w:p w:rsidR="00142253" w:rsidRDefault="00142253">
      <w:pPr>
        <w:ind w:right="-51"/>
        <w:jc w:val="both"/>
        <w:rPr>
          <w:sz w:val="24"/>
          <w:szCs w:val="24"/>
        </w:rPr>
      </w:pPr>
    </w:p>
    <w:p w:rsidR="00142253" w:rsidRDefault="00A35816">
      <w:pPr>
        <w:jc w:val="both"/>
        <w:rPr>
          <w:b/>
          <w:sz w:val="24"/>
          <w:szCs w:val="24"/>
          <w:u w:val="single"/>
        </w:rPr>
      </w:pPr>
      <w:r>
        <w:rPr>
          <w:b/>
          <w:sz w:val="24"/>
          <w:szCs w:val="24"/>
          <w:u w:val="single"/>
        </w:rPr>
        <w:t>MADDE 2- FON'UN ADI İLE KURUCU, YÖNETİCİ VE SAKLAYICI KURULUŞUN (LARININ)</w:t>
      </w:r>
      <w:r>
        <w:rPr>
          <w:b/>
          <w:sz w:val="24"/>
          <w:szCs w:val="24"/>
        </w:rPr>
        <w:t xml:space="preserve"> </w:t>
      </w:r>
      <w:r>
        <w:rPr>
          <w:b/>
          <w:sz w:val="24"/>
          <w:szCs w:val="24"/>
          <w:u w:val="single"/>
        </w:rPr>
        <w:t>UNVANI VE MERKEZ ADRESLERİ:</w:t>
      </w:r>
    </w:p>
    <w:p w:rsidR="00142253" w:rsidRDefault="00142253">
      <w:pPr>
        <w:jc w:val="both"/>
        <w:rPr>
          <w:sz w:val="24"/>
          <w:szCs w:val="24"/>
          <w:u w:val="single"/>
        </w:rPr>
      </w:pPr>
    </w:p>
    <w:p w:rsidR="00142253" w:rsidRDefault="00A35816">
      <w:pPr>
        <w:jc w:val="both"/>
        <w:rPr>
          <w:sz w:val="24"/>
          <w:szCs w:val="24"/>
        </w:rPr>
      </w:pPr>
      <w:r>
        <w:rPr>
          <w:b/>
          <w:sz w:val="24"/>
          <w:szCs w:val="24"/>
        </w:rPr>
        <w:t xml:space="preserve">2.1. </w:t>
      </w:r>
      <w:r>
        <w:rPr>
          <w:sz w:val="24"/>
          <w:szCs w:val="24"/>
        </w:rPr>
        <w:t>Fon'un adı; Türk Ekonomi Bankası A.Ş. B Tipi %100 Anapara Koruma Amaçlı Birinci Yatırım Fonu’dur.</w:t>
      </w:r>
    </w:p>
    <w:p w:rsidR="00142253" w:rsidRDefault="00A35816">
      <w:pPr>
        <w:ind w:right="-51"/>
        <w:jc w:val="both"/>
        <w:rPr>
          <w:sz w:val="24"/>
          <w:szCs w:val="24"/>
        </w:rPr>
      </w:pPr>
      <w:r>
        <w:rPr>
          <w:sz w:val="24"/>
          <w:szCs w:val="24"/>
        </w:rPr>
        <w:t xml:space="preserve">       Fon’un yönetim adresi Maya Plaza </w:t>
      </w:r>
      <w:r>
        <w:rPr>
          <w:sz w:val="24"/>
          <w:szCs w:val="24"/>
        </w:rPr>
        <w:t>Y. Göker Cad. Kat:3  34335 Akatlar İSTANBUL</w:t>
      </w:r>
    </w:p>
    <w:p w:rsidR="00142253" w:rsidRDefault="00142253">
      <w:pPr>
        <w:ind w:right="-51"/>
        <w:jc w:val="both"/>
        <w:rPr>
          <w:b/>
          <w:sz w:val="24"/>
          <w:szCs w:val="24"/>
        </w:rPr>
      </w:pPr>
    </w:p>
    <w:p w:rsidR="00142253" w:rsidRDefault="00A35816">
      <w:pPr>
        <w:ind w:right="-51"/>
        <w:jc w:val="both"/>
        <w:outlineLvl w:val="0"/>
        <w:rPr>
          <w:sz w:val="24"/>
          <w:szCs w:val="24"/>
        </w:rPr>
      </w:pPr>
      <w:r>
        <w:rPr>
          <w:b/>
          <w:sz w:val="24"/>
          <w:szCs w:val="24"/>
        </w:rPr>
        <w:t xml:space="preserve">2.2. </w:t>
      </w:r>
      <w:r>
        <w:rPr>
          <w:sz w:val="24"/>
          <w:szCs w:val="24"/>
        </w:rPr>
        <w:t>Kurucu’nun;</w:t>
      </w:r>
    </w:p>
    <w:p w:rsidR="00142253" w:rsidRDefault="00A35816">
      <w:pPr>
        <w:ind w:right="-51"/>
        <w:jc w:val="both"/>
        <w:rPr>
          <w:sz w:val="24"/>
          <w:szCs w:val="24"/>
        </w:rPr>
      </w:pPr>
      <w:r>
        <w:rPr>
          <w:sz w:val="24"/>
          <w:szCs w:val="24"/>
        </w:rPr>
        <w:t xml:space="preserve">       Unvanı; Türk Ekonomi Bankası A.Ş.</w:t>
      </w:r>
    </w:p>
    <w:p w:rsidR="00142253" w:rsidRDefault="00A35816">
      <w:pPr>
        <w:ind w:left="450" w:right="-51"/>
        <w:jc w:val="both"/>
        <w:rPr>
          <w:sz w:val="24"/>
          <w:szCs w:val="24"/>
        </w:rPr>
      </w:pPr>
      <w:r>
        <w:rPr>
          <w:sz w:val="24"/>
          <w:szCs w:val="24"/>
        </w:rPr>
        <w:t>Merkez Adresi;</w:t>
      </w:r>
      <w:r>
        <w:rPr>
          <w:sz w:val="24"/>
          <w:szCs w:val="24"/>
          <w:vertAlign w:val="superscript"/>
        </w:rPr>
        <w:t xml:space="preserve"> </w:t>
      </w:r>
      <w:r>
        <w:rPr>
          <w:sz w:val="24"/>
          <w:szCs w:val="24"/>
        </w:rPr>
        <w:t>Meclisi Mebusan Caddesi No:35 Fındıklı/İstanbul</w:t>
      </w:r>
    </w:p>
    <w:p w:rsidR="00142253" w:rsidRDefault="00142253">
      <w:pPr>
        <w:ind w:right="-51"/>
        <w:jc w:val="both"/>
        <w:rPr>
          <w:b/>
          <w:sz w:val="24"/>
          <w:szCs w:val="24"/>
        </w:rPr>
      </w:pPr>
    </w:p>
    <w:p w:rsidR="00142253" w:rsidRDefault="00A35816">
      <w:pPr>
        <w:ind w:right="-51"/>
        <w:jc w:val="both"/>
        <w:outlineLvl w:val="0"/>
        <w:rPr>
          <w:sz w:val="24"/>
          <w:szCs w:val="24"/>
        </w:rPr>
      </w:pPr>
      <w:r>
        <w:rPr>
          <w:b/>
          <w:sz w:val="24"/>
          <w:szCs w:val="24"/>
        </w:rPr>
        <w:t xml:space="preserve">2.3. </w:t>
      </w:r>
      <w:r>
        <w:rPr>
          <w:sz w:val="24"/>
          <w:szCs w:val="24"/>
        </w:rPr>
        <w:t>Yönetici’nin;</w:t>
      </w:r>
    </w:p>
    <w:p w:rsidR="00142253" w:rsidRDefault="00A35816">
      <w:pPr>
        <w:ind w:right="-51"/>
        <w:jc w:val="both"/>
        <w:rPr>
          <w:sz w:val="24"/>
          <w:szCs w:val="24"/>
        </w:rPr>
      </w:pPr>
      <w:r>
        <w:rPr>
          <w:sz w:val="24"/>
          <w:szCs w:val="24"/>
        </w:rPr>
        <w:t xml:space="preserve">       Unvanı; TEB Portföy Yönetimi A.Ş.</w:t>
      </w:r>
    </w:p>
    <w:p w:rsidR="00142253" w:rsidRDefault="00A35816">
      <w:pPr>
        <w:ind w:right="-51"/>
        <w:jc w:val="both"/>
        <w:rPr>
          <w:sz w:val="24"/>
          <w:szCs w:val="24"/>
        </w:rPr>
      </w:pPr>
      <w:r>
        <w:rPr>
          <w:sz w:val="24"/>
          <w:szCs w:val="24"/>
        </w:rPr>
        <w:t xml:space="preserve">       Merkez Adresi; Yıldırı</w:t>
      </w:r>
      <w:r>
        <w:rPr>
          <w:sz w:val="24"/>
          <w:szCs w:val="24"/>
        </w:rPr>
        <w:t>m Göker Caddesi Maya Plaza Kat:3 Akatlar/İstanbul</w:t>
      </w:r>
      <w:r>
        <w:rPr>
          <w:sz w:val="24"/>
          <w:szCs w:val="24"/>
          <w:vertAlign w:val="superscript"/>
        </w:rPr>
        <w:t xml:space="preserve"> </w:t>
      </w:r>
      <w:r>
        <w:rPr>
          <w:sz w:val="24"/>
          <w:szCs w:val="24"/>
        </w:rPr>
        <w:t xml:space="preserve"> </w:t>
      </w:r>
    </w:p>
    <w:p w:rsidR="00142253" w:rsidRDefault="00142253">
      <w:pPr>
        <w:ind w:right="-51"/>
        <w:jc w:val="both"/>
        <w:rPr>
          <w:sz w:val="24"/>
          <w:szCs w:val="24"/>
        </w:rPr>
      </w:pPr>
    </w:p>
    <w:p w:rsidR="00142253" w:rsidRDefault="00A35816">
      <w:pPr>
        <w:ind w:right="-51"/>
        <w:jc w:val="both"/>
        <w:outlineLvl w:val="0"/>
        <w:rPr>
          <w:sz w:val="24"/>
          <w:szCs w:val="24"/>
        </w:rPr>
      </w:pPr>
      <w:r>
        <w:rPr>
          <w:b/>
          <w:sz w:val="24"/>
          <w:szCs w:val="24"/>
        </w:rPr>
        <w:t>2.4.</w:t>
      </w:r>
      <w:r>
        <w:rPr>
          <w:sz w:val="24"/>
          <w:szCs w:val="24"/>
        </w:rPr>
        <w:t xml:space="preserve"> Saklayıcı Kuruluş’un;</w:t>
      </w:r>
    </w:p>
    <w:p w:rsidR="00142253" w:rsidRDefault="00A35816">
      <w:pPr>
        <w:ind w:right="-51" w:firstLine="426"/>
        <w:jc w:val="both"/>
        <w:rPr>
          <w:sz w:val="24"/>
          <w:szCs w:val="24"/>
        </w:rPr>
      </w:pPr>
      <w:r>
        <w:rPr>
          <w:sz w:val="24"/>
          <w:szCs w:val="24"/>
        </w:rPr>
        <w:t>Unvanı: İMKB Takas ve Saklama Bankası A.Ş.</w:t>
      </w:r>
    </w:p>
    <w:p w:rsidR="00142253" w:rsidRDefault="00A35816">
      <w:pPr>
        <w:ind w:right="-51" w:firstLine="426"/>
        <w:jc w:val="both"/>
        <w:rPr>
          <w:sz w:val="24"/>
          <w:szCs w:val="24"/>
        </w:rPr>
      </w:pPr>
      <w:r>
        <w:rPr>
          <w:sz w:val="24"/>
          <w:szCs w:val="24"/>
        </w:rPr>
        <w:t>Merkez Adresi : Abide-i Hürriyet Caddesi Mecidiyeköy  Sokak No:286 Şişli/İstanbul</w:t>
      </w:r>
    </w:p>
    <w:p w:rsidR="00142253" w:rsidRDefault="00142253">
      <w:pPr>
        <w:ind w:right="-51" w:firstLine="426"/>
        <w:jc w:val="both"/>
        <w:rPr>
          <w:sz w:val="24"/>
          <w:szCs w:val="24"/>
          <w:vertAlign w:val="superscript"/>
        </w:rPr>
      </w:pPr>
    </w:p>
    <w:p w:rsidR="00142253" w:rsidRDefault="00A35816">
      <w:pPr>
        <w:ind w:right="-51"/>
        <w:jc w:val="both"/>
        <w:rPr>
          <w:b/>
          <w:sz w:val="24"/>
          <w:szCs w:val="24"/>
          <w:u w:val="single"/>
        </w:rPr>
      </w:pPr>
      <w:r>
        <w:rPr>
          <w:b/>
          <w:sz w:val="24"/>
          <w:szCs w:val="24"/>
          <w:u w:val="single"/>
        </w:rPr>
        <w:t>MADDE 3-</w:t>
      </w:r>
      <w:r>
        <w:rPr>
          <w:b/>
          <w:sz w:val="24"/>
          <w:szCs w:val="24"/>
          <w:u w:val="single"/>
        </w:rPr>
        <w:tab/>
        <w:t>FON TUTARI VE SÜRESİ:</w:t>
      </w:r>
    </w:p>
    <w:p w:rsidR="00142253" w:rsidRDefault="00142253">
      <w:pPr>
        <w:jc w:val="both"/>
        <w:rPr>
          <w:sz w:val="24"/>
          <w:szCs w:val="24"/>
          <w:u w:val="single"/>
        </w:rPr>
      </w:pPr>
    </w:p>
    <w:p w:rsidR="00142253" w:rsidRDefault="00A35816">
      <w:pPr>
        <w:jc w:val="both"/>
        <w:rPr>
          <w:sz w:val="24"/>
          <w:szCs w:val="24"/>
        </w:rPr>
      </w:pPr>
      <w:r>
        <w:rPr>
          <w:b/>
          <w:sz w:val="24"/>
          <w:szCs w:val="24"/>
        </w:rPr>
        <w:t xml:space="preserve">3.1. </w:t>
      </w:r>
      <w:r>
        <w:rPr>
          <w:sz w:val="24"/>
          <w:szCs w:val="24"/>
        </w:rPr>
        <w:t>Fon'un Tutarı</w:t>
      </w:r>
      <w:r>
        <w:rPr>
          <w:sz w:val="24"/>
          <w:szCs w:val="24"/>
        </w:rPr>
        <w:t xml:space="preserve"> 25.000.000 (yirmibeşmilyon) YTL'dir.</w:t>
      </w:r>
    </w:p>
    <w:p w:rsidR="00142253" w:rsidRDefault="00142253">
      <w:pPr>
        <w:jc w:val="both"/>
        <w:rPr>
          <w:b/>
          <w:i/>
          <w:sz w:val="24"/>
          <w:szCs w:val="24"/>
        </w:rPr>
      </w:pPr>
    </w:p>
    <w:p w:rsidR="00142253" w:rsidRDefault="00A35816">
      <w:pPr>
        <w:spacing w:before="4" w:line="278" w:lineRule="exact"/>
        <w:ind w:right="72"/>
        <w:jc w:val="both"/>
        <w:rPr>
          <w:sz w:val="24"/>
          <w:szCs w:val="24"/>
        </w:rPr>
      </w:pPr>
      <w:r>
        <w:rPr>
          <w:b/>
          <w:sz w:val="24"/>
          <w:szCs w:val="24"/>
        </w:rPr>
        <w:t xml:space="preserve">3.2. </w:t>
      </w:r>
      <w:r>
        <w:rPr>
          <w:sz w:val="24"/>
          <w:szCs w:val="24"/>
        </w:rPr>
        <w:t>Fon süresiz olmakla birlikte, asgari 6 aylık belirli bir yatırım dönemine sahiptir. Yatırım dönemi ile ilgili bilgilere halka arz izahnamesinde yer verilmektedir.</w:t>
      </w:r>
    </w:p>
    <w:p w:rsidR="00142253" w:rsidRDefault="00142253">
      <w:pPr>
        <w:spacing w:before="4" w:line="278" w:lineRule="exact"/>
        <w:ind w:right="72"/>
        <w:jc w:val="both"/>
        <w:rPr>
          <w:sz w:val="24"/>
          <w:szCs w:val="24"/>
        </w:rPr>
      </w:pPr>
    </w:p>
    <w:p w:rsidR="00142253" w:rsidRDefault="00A35816">
      <w:pPr>
        <w:jc w:val="both"/>
        <w:rPr>
          <w:sz w:val="24"/>
          <w:szCs w:val="24"/>
        </w:rPr>
      </w:pPr>
      <w:r>
        <w:rPr>
          <w:b/>
          <w:sz w:val="24"/>
          <w:szCs w:val="24"/>
        </w:rPr>
        <w:t xml:space="preserve">3.3. </w:t>
      </w:r>
      <w:r>
        <w:rPr>
          <w:sz w:val="24"/>
          <w:szCs w:val="24"/>
        </w:rPr>
        <w:t>Fon 2.500.000.000 (ikimilyarbeşyüzmilyon) p</w:t>
      </w:r>
      <w:r>
        <w:rPr>
          <w:sz w:val="24"/>
          <w:szCs w:val="24"/>
        </w:rPr>
        <w:t>aya bölünmüştür.</w:t>
      </w:r>
    </w:p>
    <w:p w:rsidR="00142253" w:rsidRDefault="00142253">
      <w:pPr>
        <w:jc w:val="both"/>
        <w:rPr>
          <w:sz w:val="24"/>
          <w:szCs w:val="24"/>
        </w:rPr>
      </w:pPr>
    </w:p>
    <w:p w:rsidR="00142253" w:rsidRDefault="00A35816">
      <w:pPr>
        <w:jc w:val="both"/>
        <w:rPr>
          <w:b/>
          <w:sz w:val="24"/>
          <w:szCs w:val="24"/>
          <w:u w:val="single"/>
        </w:rPr>
      </w:pPr>
      <w:r>
        <w:rPr>
          <w:b/>
          <w:sz w:val="24"/>
          <w:szCs w:val="24"/>
          <w:u w:val="single"/>
        </w:rPr>
        <w:t>MADDE 4-</w:t>
      </w:r>
      <w:r>
        <w:rPr>
          <w:b/>
          <w:sz w:val="24"/>
          <w:szCs w:val="24"/>
          <w:u w:val="single"/>
        </w:rPr>
        <w:tab/>
        <w:t>FON PORTFÖYÜNÜN OLUŞTURULMASI:</w:t>
      </w:r>
    </w:p>
    <w:p w:rsidR="00142253" w:rsidRDefault="00142253">
      <w:pPr>
        <w:jc w:val="both"/>
        <w:rPr>
          <w:sz w:val="24"/>
          <w:szCs w:val="24"/>
          <w:u w:val="single"/>
        </w:rPr>
      </w:pPr>
    </w:p>
    <w:p w:rsidR="00142253" w:rsidRDefault="00A35816">
      <w:pPr>
        <w:jc w:val="both"/>
        <w:rPr>
          <w:sz w:val="24"/>
          <w:szCs w:val="24"/>
        </w:rPr>
      </w:pPr>
      <w:r>
        <w:rPr>
          <w:b/>
          <w:sz w:val="24"/>
          <w:szCs w:val="24"/>
        </w:rPr>
        <w:t xml:space="preserve">4.1. </w:t>
      </w:r>
      <w:r>
        <w:rPr>
          <w:sz w:val="24"/>
          <w:szCs w:val="24"/>
        </w:rPr>
        <w:t>Yönetici katılma payları karşılığı yatırımcılardan toplanan paraları, en geç talep toplamanın sona erdiği günü takip eden 3 işgünü içerisinde,  Tebliğ’in 42. md. hükümlerine ve bu içtüzükte belirtilen portföy strateji ve sınırlamalarına uygun olarak oluştu</w:t>
      </w:r>
      <w:r>
        <w:rPr>
          <w:sz w:val="24"/>
          <w:szCs w:val="24"/>
        </w:rPr>
        <w:t xml:space="preserve">rur ve yönetir. </w:t>
      </w:r>
    </w:p>
    <w:p w:rsidR="00142253" w:rsidRDefault="00142253">
      <w:pPr>
        <w:jc w:val="both"/>
        <w:rPr>
          <w:sz w:val="24"/>
          <w:szCs w:val="24"/>
        </w:rPr>
      </w:pPr>
    </w:p>
    <w:p w:rsidR="00142253" w:rsidRDefault="00A35816">
      <w:pPr>
        <w:jc w:val="both"/>
        <w:rPr>
          <w:sz w:val="24"/>
          <w:szCs w:val="24"/>
        </w:rPr>
      </w:pPr>
      <w:r>
        <w:rPr>
          <w:b/>
          <w:sz w:val="24"/>
          <w:szCs w:val="24"/>
        </w:rPr>
        <w:t>4.2.</w:t>
      </w:r>
      <w:r>
        <w:rPr>
          <w:sz w:val="24"/>
          <w:szCs w:val="24"/>
        </w:rPr>
        <w:t xml:space="preserve"> Fon tutarını temsil eden katılma payları Tebliğ’in halka arza ilişkin hükümleri çerçevesinde halka arz yoluyla satılır.</w:t>
      </w:r>
    </w:p>
    <w:p w:rsidR="00142253" w:rsidRDefault="00142253">
      <w:pPr>
        <w:jc w:val="both"/>
        <w:rPr>
          <w:sz w:val="24"/>
          <w:szCs w:val="24"/>
        </w:rPr>
      </w:pPr>
    </w:p>
    <w:p w:rsidR="00142253" w:rsidRDefault="00A35816">
      <w:pPr>
        <w:jc w:val="both"/>
        <w:rPr>
          <w:sz w:val="24"/>
          <w:szCs w:val="24"/>
        </w:rPr>
      </w:pPr>
      <w:r>
        <w:rPr>
          <w:b/>
          <w:sz w:val="24"/>
          <w:szCs w:val="24"/>
        </w:rPr>
        <w:t>4.3.</w:t>
      </w:r>
      <w:r>
        <w:rPr>
          <w:sz w:val="24"/>
          <w:szCs w:val="24"/>
        </w:rPr>
        <w:t xml:space="preserve"> Katılma paylarının itibari değeri yoktur ve kaydi değer olarak tutulur. Fon tutarını temsil eden katılma pa</w:t>
      </w:r>
      <w:r>
        <w:rPr>
          <w:sz w:val="24"/>
          <w:szCs w:val="24"/>
        </w:rPr>
        <w:t xml:space="preserve">yları kaydi olarak Merkezi Kayıt Kuruluşu A.Ş. nezdinde müşteri bazında izlenir. Fon katılma payları bastırılamaz ve fiziken teslim edilemez. </w:t>
      </w:r>
    </w:p>
    <w:p w:rsidR="00142253" w:rsidRDefault="00142253">
      <w:pPr>
        <w:jc w:val="both"/>
        <w:rPr>
          <w:sz w:val="24"/>
          <w:szCs w:val="24"/>
        </w:rPr>
      </w:pPr>
    </w:p>
    <w:p w:rsidR="00142253" w:rsidRDefault="00A35816">
      <w:pPr>
        <w:jc w:val="both"/>
        <w:rPr>
          <w:sz w:val="24"/>
          <w:szCs w:val="24"/>
        </w:rPr>
      </w:pPr>
      <w:r>
        <w:rPr>
          <w:b/>
          <w:sz w:val="24"/>
          <w:szCs w:val="24"/>
        </w:rPr>
        <w:t>4.4.</w:t>
      </w:r>
      <w:r>
        <w:rPr>
          <w:sz w:val="24"/>
          <w:szCs w:val="24"/>
        </w:rPr>
        <w:t xml:space="preserve"> Katılma payı işlemleri günlük olarak Merkezi Kayıt Kuruluşu A.Ş.’ne bildirilir. </w:t>
      </w:r>
    </w:p>
    <w:p w:rsidR="00142253" w:rsidRDefault="00142253">
      <w:pPr>
        <w:jc w:val="both"/>
        <w:rPr>
          <w:sz w:val="24"/>
          <w:szCs w:val="24"/>
        </w:rPr>
      </w:pPr>
    </w:p>
    <w:p w:rsidR="00142253" w:rsidRDefault="00A35816">
      <w:pPr>
        <w:jc w:val="both"/>
        <w:rPr>
          <w:sz w:val="24"/>
          <w:szCs w:val="24"/>
        </w:rPr>
      </w:pPr>
      <w:r>
        <w:rPr>
          <w:b/>
          <w:sz w:val="24"/>
          <w:szCs w:val="24"/>
        </w:rPr>
        <w:t>4.5.</w:t>
      </w:r>
      <w:r>
        <w:rPr>
          <w:sz w:val="24"/>
          <w:szCs w:val="24"/>
        </w:rPr>
        <w:t xml:space="preserve"> Katılma payları Merk</w:t>
      </w:r>
      <w:r>
        <w:rPr>
          <w:sz w:val="24"/>
          <w:szCs w:val="24"/>
        </w:rPr>
        <w:t>ezi Kayıt Kuruluşu A.Ş. nezdindeki hesaplarda, her müşterinin kimlik bilgileri ve buna bağlı hesap kodları ile fon bilgileri bazında takip edilir.</w:t>
      </w:r>
    </w:p>
    <w:p w:rsidR="00142253" w:rsidRDefault="00142253">
      <w:pPr>
        <w:jc w:val="both"/>
        <w:rPr>
          <w:sz w:val="24"/>
          <w:szCs w:val="24"/>
        </w:rPr>
      </w:pPr>
    </w:p>
    <w:p w:rsidR="00142253" w:rsidRDefault="00A35816">
      <w:pPr>
        <w:jc w:val="both"/>
        <w:rPr>
          <w:b/>
          <w:sz w:val="24"/>
          <w:szCs w:val="24"/>
        </w:rPr>
      </w:pPr>
      <w:r>
        <w:rPr>
          <w:b/>
          <w:sz w:val="24"/>
          <w:szCs w:val="24"/>
          <w:u w:val="single"/>
        </w:rPr>
        <w:t>MADDE 5-</w:t>
      </w:r>
      <w:r>
        <w:rPr>
          <w:b/>
          <w:sz w:val="24"/>
          <w:szCs w:val="24"/>
          <w:u w:val="single"/>
        </w:rPr>
        <w:tab/>
        <w:t>FON YÖNETİMİNE İLİŞKİN ESASLAR VE YÖNETİCİNİN TABİ OLDUĞU İLKELER:</w:t>
      </w:r>
    </w:p>
    <w:p w:rsidR="00142253" w:rsidRDefault="00142253">
      <w:pPr>
        <w:jc w:val="both"/>
        <w:rPr>
          <w:sz w:val="24"/>
          <w:szCs w:val="24"/>
        </w:rPr>
      </w:pPr>
    </w:p>
    <w:p w:rsidR="00142253" w:rsidRDefault="00A35816">
      <w:pPr>
        <w:jc w:val="both"/>
        <w:rPr>
          <w:sz w:val="24"/>
          <w:szCs w:val="24"/>
        </w:rPr>
      </w:pPr>
      <w:r>
        <w:rPr>
          <w:b/>
          <w:sz w:val="24"/>
          <w:szCs w:val="24"/>
        </w:rPr>
        <w:t xml:space="preserve">5.1. </w:t>
      </w:r>
      <w:r>
        <w:rPr>
          <w:sz w:val="24"/>
          <w:szCs w:val="24"/>
        </w:rPr>
        <w:t>Fonun, riskin dağıtılması,</w:t>
      </w:r>
      <w:r>
        <w:rPr>
          <w:sz w:val="24"/>
          <w:szCs w:val="24"/>
        </w:rPr>
        <w:t xml:space="preserve"> inançlı mülkiyet ve en iyi gayret esaslarına göre pay sahiplerinin haklarını koruyacak şekilde yönetim, temsil ve varlıkların saklanmasından Sermaye Piyasası Kanunu uyarınca  Türk Ekonomi Bankası A.Ş. sorumludur. Fon portföyü, yönetici  TEB Portföy Yöneti</w:t>
      </w:r>
      <w:r>
        <w:rPr>
          <w:sz w:val="24"/>
          <w:szCs w:val="24"/>
        </w:rPr>
        <w:t>mi A.Ş.</w:t>
      </w:r>
      <w:r>
        <w:rPr>
          <w:b/>
          <w:i/>
          <w:sz w:val="24"/>
          <w:szCs w:val="24"/>
        </w:rPr>
        <w:t xml:space="preserve"> </w:t>
      </w:r>
      <w:r>
        <w:rPr>
          <w:sz w:val="24"/>
          <w:szCs w:val="24"/>
        </w:rPr>
        <w:t>tarafından,</w:t>
      </w:r>
      <w:r>
        <w:rPr>
          <w:b/>
          <w:i/>
          <w:sz w:val="24"/>
          <w:szCs w:val="24"/>
        </w:rPr>
        <w:t xml:space="preserve"> </w:t>
      </w:r>
      <w:r>
        <w:rPr>
          <w:sz w:val="24"/>
          <w:szCs w:val="24"/>
        </w:rPr>
        <w:t xml:space="preserve"> Sermaye Piyasası Kurulu düzenlemelerine uygun olarak yapılacak bir portföy yönetim sözleşmesi çerçevesinde bu içtüzük ve Tebliğ hükümleri dahilinde yönetilir. </w:t>
      </w:r>
    </w:p>
    <w:p w:rsidR="00142253" w:rsidRDefault="00142253">
      <w:pPr>
        <w:jc w:val="both"/>
        <w:rPr>
          <w:sz w:val="24"/>
          <w:szCs w:val="24"/>
        </w:rPr>
      </w:pPr>
    </w:p>
    <w:p w:rsidR="00142253" w:rsidRDefault="00A35816">
      <w:pPr>
        <w:jc w:val="both"/>
        <w:rPr>
          <w:b/>
          <w:i/>
          <w:sz w:val="24"/>
          <w:szCs w:val="24"/>
        </w:rPr>
      </w:pPr>
      <w:r>
        <w:rPr>
          <w:b/>
          <w:sz w:val="24"/>
          <w:szCs w:val="24"/>
        </w:rPr>
        <w:t xml:space="preserve">5.2. </w:t>
      </w:r>
      <w:r>
        <w:rPr>
          <w:sz w:val="24"/>
          <w:szCs w:val="24"/>
        </w:rPr>
        <w:t>Fonla ilgili işlemler Tebliğ'in 12. md. çerçevesinde belirtilen asgar</w:t>
      </w:r>
      <w:r>
        <w:rPr>
          <w:sz w:val="24"/>
          <w:szCs w:val="24"/>
        </w:rPr>
        <w:t>i şartlara haiz en az üç kişiden oluşan bir fon kurulu ve en az bir denetçi tarafından yürütülür. Fon kurulu üyelerini ve denetçiyi kurucu atar.</w:t>
      </w:r>
      <w:r>
        <w:rPr>
          <w:b/>
          <w:i/>
          <w:sz w:val="24"/>
          <w:szCs w:val="24"/>
        </w:rPr>
        <w:t xml:space="preserve"> </w:t>
      </w:r>
    </w:p>
    <w:p w:rsidR="00142253" w:rsidRDefault="00142253">
      <w:pPr>
        <w:jc w:val="both"/>
        <w:rPr>
          <w:b/>
          <w:i/>
          <w:sz w:val="24"/>
          <w:szCs w:val="24"/>
        </w:rPr>
      </w:pPr>
    </w:p>
    <w:p w:rsidR="00142253" w:rsidRDefault="00A35816">
      <w:pPr>
        <w:jc w:val="both"/>
        <w:rPr>
          <w:sz w:val="24"/>
          <w:szCs w:val="24"/>
        </w:rPr>
      </w:pPr>
      <w:r>
        <w:rPr>
          <w:b/>
          <w:sz w:val="24"/>
          <w:szCs w:val="24"/>
        </w:rPr>
        <w:t xml:space="preserve">5.3. </w:t>
      </w:r>
      <w:r>
        <w:rPr>
          <w:sz w:val="24"/>
          <w:szCs w:val="24"/>
        </w:rPr>
        <w:t>Fonla ilgili işlemlerin düzgün yürütülebilmesini teminen Kurucu bünyesinde bir fon hizmet birimi oluştur</w:t>
      </w:r>
      <w:r>
        <w:rPr>
          <w:sz w:val="24"/>
          <w:szCs w:val="24"/>
        </w:rPr>
        <w:t>ulur.  Fon hizmet biriminde, Tebliğ’in 12.md.'de belirtilen asgari nitelikleri haiz bir fon yönetim müdürü görevlendirilir ve fona işlerin gerektirdiği mekan, teknik donanım, muhasebe sistemi ve yeterli sayıda uzman personel sağlanır.</w:t>
      </w:r>
      <w:r>
        <w:rPr>
          <w:b/>
          <w:i/>
          <w:sz w:val="24"/>
          <w:szCs w:val="24"/>
        </w:rPr>
        <w:t xml:space="preserve"> </w:t>
      </w:r>
      <w:r>
        <w:rPr>
          <w:sz w:val="24"/>
          <w:szCs w:val="24"/>
        </w:rPr>
        <w:t>Tebliğ’in 13’üncü mad</w:t>
      </w:r>
      <w:r>
        <w:rPr>
          <w:sz w:val="24"/>
          <w:szCs w:val="24"/>
        </w:rPr>
        <w:t>desi uyarınca, yönetici şirketin yöneticilerinden ve fon kurulu üyelerinden en az birer kişinin ve fonun portföy yöneticilerinin tümünün sermaye piyasası faaliyetleri ileri düzey lisans sınavı ile türev araçlar lisans sınavında başarılı olması ve yeterli b</w:t>
      </w:r>
      <w:r>
        <w:rPr>
          <w:sz w:val="24"/>
          <w:szCs w:val="24"/>
        </w:rPr>
        <w:t>ilgi ve tecrübeye sahip olması zorunludur.</w:t>
      </w:r>
    </w:p>
    <w:p w:rsidR="00142253" w:rsidRDefault="00142253">
      <w:pPr>
        <w:jc w:val="both"/>
        <w:rPr>
          <w:sz w:val="24"/>
          <w:szCs w:val="24"/>
        </w:rPr>
      </w:pPr>
    </w:p>
    <w:p w:rsidR="00142253" w:rsidRDefault="00A35816">
      <w:pPr>
        <w:jc w:val="both"/>
        <w:rPr>
          <w:sz w:val="24"/>
          <w:szCs w:val="24"/>
        </w:rPr>
      </w:pPr>
      <w:r>
        <w:rPr>
          <w:b/>
          <w:sz w:val="24"/>
          <w:szCs w:val="24"/>
        </w:rPr>
        <w:t xml:space="preserve">5.4.  </w:t>
      </w:r>
      <w:r>
        <w:rPr>
          <w:sz w:val="24"/>
          <w:szCs w:val="24"/>
        </w:rPr>
        <w:t>Çıkarılan katılma paylarının kaydına mahsus olmak üzere TTK'nun 69. Md'ne göre tasdik ettirilen "Katılma Payları Defteri" tutulur. Katılma payları defterinde günlük katılma paylarının alım satımları izlenir</w:t>
      </w:r>
      <w:r>
        <w:rPr>
          <w:sz w:val="24"/>
          <w:szCs w:val="24"/>
        </w:rPr>
        <w:t xml:space="preserve">. Fon kurulunun vereceği her tür karar onaylı olarak “Fon Kurulu Karar Defterine” yazılır. Bunlar dışında fon işlemlerine ilişkin olarak TTK, VUK, ve SPKn. hükümleri çerçevesinde; Yevmiye Defteri (günlük defter), Defter-i Kebir (büyük </w:t>
      </w:r>
      <w:r>
        <w:rPr>
          <w:sz w:val="24"/>
          <w:szCs w:val="24"/>
        </w:rPr>
        <w:lastRenderedPageBreak/>
        <w:t>defter), Kurucu taraf</w:t>
      </w:r>
      <w:r>
        <w:rPr>
          <w:sz w:val="24"/>
          <w:szCs w:val="24"/>
        </w:rPr>
        <w:t>ından tutulur. Maliye Bakanlığı’nca istenebilecek VUK’ndan kaynaklanan zorunlu defterler de ayrıca tutulur.</w:t>
      </w:r>
    </w:p>
    <w:p w:rsidR="00142253" w:rsidRDefault="00142253">
      <w:pPr>
        <w:jc w:val="both"/>
        <w:rPr>
          <w:sz w:val="24"/>
          <w:szCs w:val="24"/>
        </w:rPr>
      </w:pPr>
    </w:p>
    <w:p w:rsidR="00142253" w:rsidRDefault="00A35816">
      <w:pPr>
        <w:jc w:val="both"/>
        <w:rPr>
          <w:sz w:val="24"/>
          <w:szCs w:val="24"/>
        </w:rPr>
      </w:pPr>
      <w:r>
        <w:rPr>
          <w:b/>
          <w:sz w:val="24"/>
          <w:szCs w:val="24"/>
        </w:rPr>
        <w:t>5.5.</w:t>
      </w:r>
      <w:r>
        <w:rPr>
          <w:sz w:val="24"/>
          <w:szCs w:val="24"/>
        </w:rPr>
        <w:t xml:space="preserve"> Kurucu kaydi değer olarak tutulan katılma paylarını müşteriler bazında izleyebilecek bir sistemi kurmak ve bu bilgileri 5 yıl boyunca saklamak</w:t>
      </w:r>
      <w:r>
        <w:rPr>
          <w:sz w:val="24"/>
          <w:szCs w:val="24"/>
        </w:rPr>
        <w:t xml:space="preserve"> zorundadır.</w:t>
      </w:r>
    </w:p>
    <w:p w:rsidR="00142253" w:rsidRDefault="00142253">
      <w:pPr>
        <w:jc w:val="both"/>
        <w:rPr>
          <w:b/>
          <w:sz w:val="24"/>
          <w:szCs w:val="24"/>
        </w:rPr>
      </w:pPr>
    </w:p>
    <w:p w:rsidR="00142253" w:rsidRDefault="00A35816">
      <w:pPr>
        <w:jc w:val="both"/>
        <w:rPr>
          <w:sz w:val="24"/>
          <w:szCs w:val="24"/>
        </w:rPr>
      </w:pPr>
      <w:r>
        <w:rPr>
          <w:b/>
          <w:sz w:val="24"/>
          <w:szCs w:val="24"/>
        </w:rPr>
        <w:t xml:space="preserve">5.6. </w:t>
      </w:r>
      <w:r>
        <w:rPr>
          <w:sz w:val="24"/>
          <w:szCs w:val="24"/>
        </w:rPr>
        <w:t>Fon’un muhasebe, denetim, hesap ve işlemleri Sermaye Piyasası Kanunu, Bankalar Kanunu, TTK, VUK ve Borçlar Kanunu’nun ilgili hükümlerine uygun olarak, kurucunun ve yöneticinin hesapları dışında özel hesaplarda izlenir. Fon muhasebesine i</w:t>
      </w:r>
      <w:r>
        <w:rPr>
          <w:sz w:val="24"/>
          <w:szCs w:val="24"/>
        </w:rPr>
        <w:t>lişkin olarak, Kurul'un Seri: XI, No:6 “Menkul Kıymetler Yatırım Fonları Mali Tablo ve Raporlarına İlişkin İlke ve Kurallar Hakkında Tebliğ”inde belirtilen esaslara uyulur.</w:t>
      </w:r>
    </w:p>
    <w:p w:rsidR="00142253" w:rsidRDefault="00142253">
      <w:pPr>
        <w:jc w:val="both"/>
        <w:rPr>
          <w:sz w:val="24"/>
          <w:szCs w:val="24"/>
        </w:rPr>
      </w:pPr>
    </w:p>
    <w:p w:rsidR="00142253" w:rsidRDefault="00A35816">
      <w:pPr>
        <w:jc w:val="both"/>
        <w:rPr>
          <w:b/>
          <w:i/>
          <w:sz w:val="24"/>
          <w:szCs w:val="24"/>
        </w:rPr>
      </w:pPr>
      <w:r>
        <w:rPr>
          <w:b/>
          <w:sz w:val="24"/>
          <w:szCs w:val="24"/>
        </w:rPr>
        <w:t xml:space="preserve">5.7. </w:t>
      </w:r>
      <w:r>
        <w:rPr>
          <w:sz w:val="24"/>
          <w:szCs w:val="24"/>
        </w:rPr>
        <w:t>Yönetici fon yönetiminde aşağıdaki ilkelere uyar</w:t>
      </w:r>
      <w:r>
        <w:rPr>
          <w:b/>
          <w:i/>
          <w:sz w:val="24"/>
          <w:szCs w:val="24"/>
        </w:rPr>
        <w:t>;</w:t>
      </w:r>
    </w:p>
    <w:p w:rsidR="00142253" w:rsidRDefault="00142253">
      <w:pPr>
        <w:jc w:val="both"/>
        <w:rPr>
          <w:sz w:val="24"/>
          <w:szCs w:val="24"/>
        </w:rPr>
      </w:pPr>
    </w:p>
    <w:p w:rsidR="00142253" w:rsidRDefault="00A35816">
      <w:pPr>
        <w:jc w:val="both"/>
        <w:rPr>
          <w:sz w:val="24"/>
          <w:szCs w:val="24"/>
        </w:rPr>
      </w:pPr>
      <w:r>
        <w:rPr>
          <w:b/>
          <w:sz w:val="24"/>
          <w:szCs w:val="24"/>
        </w:rPr>
        <w:t xml:space="preserve">5.7.1. </w:t>
      </w:r>
      <w:r>
        <w:rPr>
          <w:sz w:val="24"/>
          <w:szCs w:val="24"/>
        </w:rPr>
        <w:t>Yöneticinin yönetti</w:t>
      </w:r>
      <w:r>
        <w:rPr>
          <w:sz w:val="24"/>
          <w:szCs w:val="24"/>
        </w:rPr>
        <w:t>ği her fonun çıkarını ayrı ayrı gözetmesi zorunludur. Yönetici, yönetimindeki fonlar veya diğer müşterileri arasında biri lehine diğeri aleyhine sonuç verecek işlemlerde bulunamaz. Fon portföyü ile ilgili alım satım kararlarında objektif bilgi ve belgelere</w:t>
      </w:r>
      <w:r>
        <w:rPr>
          <w:sz w:val="24"/>
          <w:szCs w:val="24"/>
        </w:rPr>
        <w:t xml:space="preserve"> ve sözleşme ile belirlenen yatırım ilkelerine uyulması zorunludur. Bu bilgi ve belgeler ile alım satım kararlarına mesnet teşkil eden araştırma ve raporların en az 5 yıl süreyle yönetici nezdinde saklanması zorunludur. Yatırım kararını veren portföy yönet</w:t>
      </w:r>
      <w:r>
        <w:rPr>
          <w:sz w:val="24"/>
          <w:szCs w:val="24"/>
        </w:rPr>
        <w:t>icisi alım satım kararlarını imzalı olarak kaydeder.</w:t>
      </w:r>
    </w:p>
    <w:p w:rsidR="00142253" w:rsidRDefault="00142253">
      <w:pPr>
        <w:jc w:val="both"/>
        <w:rPr>
          <w:sz w:val="24"/>
          <w:szCs w:val="24"/>
        </w:rPr>
      </w:pPr>
    </w:p>
    <w:p w:rsidR="00142253" w:rsidRDefault="00A35816">
      <w:pPr>
        <w:jc w:val="both"/>
        <w:rPr>
          <w:sz w:val="24"/>
          <w:szCs w:val="24"/>
        </w:rPr>
      </w:pPr>
      <w:r>
        <w:rPr>
          <w:b/>
          <w:sz w:val="24"/>
          <w:szCs w:val="24"/>
        </w:rPr>
        <w:t xml:space="preserve">5.7.2. </w:t>
      </w:r>
      <w:r>
        <w:rPr>
          <w:sz w:val="24"/>
          <w:szCs w:val="24"/>
        </w:rPr>
        <w:t>Fon portföyüne rayiç değerinin üzerinde varlık satın alınamaz ve portföyden bu değerin altında varlık satılamaz. Rayiç bedel, borsada işlem gören varlıklar için borsa fiyatı, borsada işlem görmey</w:t>
      </w:r>
      <w:r>
        <w:rPr>
          <w:sz w:val="24"/>
          <w:szCs w:val="24"/>
        </w:rPr>
        <w:t>en varlıklar için işlem gününde fon lehine alımda en düşük, satımda en yüksek fiyattır. Borsa dışında taraf olunan sözleşmelerin herhangi bir ilişkiden etkilenmeyecek şekilde objektif koşullarda yapılması ve adil bir fiyat içermesi zorunludur. Sözleşmeleri</w:t>
      </w:r>
      <w:r>
        <w:rPr>
          <w:sz w:val="24"/>
          <w:szCs w:val="24"/>
        </w:rPr>
        <w:t>n bu ilkelere uygunluğunun temini için bu içtüzüğün 10 nolu maddesinde belirlenen yöntemler uygulanır.</w:t>
      </w:r>
    </w:p>
    <w:p w:rsidR="00142253" w:rsidRDefault="00142253">
      <w:pPr>
        <w:jc w:val="both"/>
        <w:rPr>
          <w:sz w:val="24"/>
          <w:szCs w:val="24"/>
        </w:rPr>
      </w:pPr>
    </w:p>
    <w:p w:rsidR="00142253" w:rsidRDefault="00A35816">
      <w:pPr>
        <w:jc w:val="both"/>
        <w:rPr>
          <w:sz w:val="24"/>
          <w:szCs w:val="24"/>
        </w:rPr>
      </w:pPr>
      <w:r>
        <w:rPr>
          <w:b/>
          <w:sz w:val="24"/>
          <w:szCs w:val="24"/>
        </w:rPr>
        <w:t>5.7.3</w:t>
      </w:r>
      <w:r>
        <w:rPr>
          <w:sz w:val="24"/>
          <w:szCs w:val="24"/>
        </w:rPr>
        <w:t>. Borsada işlem gören varlıkların alım satımının borsa kanalıyla yapılması zorunludur. Vade ve diğer sözleşme koşulları açısından borsada işlem gör</w:t>
      </w:r>
      <w:r>
        <w:rPr>
          <w:sz w:val="24"/>
          <w:szCs w:val="24"/>
        </w:rPr>
        <w:t>en eşdeğerlerinin bulunmaması halinde, fonun yatırım amacına uygun olması, karşı taraflarının Türkiye’de derecelendirme faaliyetinde bulunması Kurulca kabul edilen derecelendirme kuruluşları tarafından yatırım yapılabilir seviyeye denk gelen derecelendirme</w:t>
      </w:r>
      <w:r>
        <w:rPr>
          <w:sz w:val="24"/>
          <w:szCs w:val="24"/>
        </w:rPr>
        <w:t xml:space="preserve"> notu verilmiş olması, herhangi bir ilişkiden etkilenmeyecek şekilde objektif koşullarda yapılması ve adil bir fiyat içermesi, fiyat açıklama dönemlerinde makul değeri üzerinden nakde dönüştürülebilir olması şartlarıyla, ters repo sözleşmeleri ile döviz, k</w:t>
      </w:r>
      <w:r>
        <w:rPr>
          <w:sz w:val="24"/>
          <w:szCs w:val="24"/>
        </w:rPr>
        <w:t>ıymetli madenler, faiz, finansal göstergeler ve sermaye piyasası araçları üzerinden düzenlenmiş opsiyon, vadeli işlem sözleşmeleri ve Kurulca uygun görülen diğer sermaye piyasası araçları koruma amaçlı yatırım fonlarının portföylerine borsa dışından alınab</w:t>
      </w:r>
      <w:r>
        <w:rPr>
          <w:sz w:val="24"/>
          <w:szCs w:val="24"/>
        </w:rPr>
        <w:t xml:space="preserve">ilir. </w:t>
      </w:r>
    </w:p>
    <w:p w:rsidR="00142253" w:rsidRDefault="00142253">
      <w:pPr>
        <w:jc w:val="both"/>
        <w:rPr>
          <w:sz w:val="24"/>
          <w:szCs w:val="24"/>
        </w:rPr>
      </w:pPr>
    </w:p>
    <w:p w:rsidR="00142253" w:rsidRDefault="00A35816">
      <w:pPr>
        <w:tabs>
          <w:tab w:val="left" w:pos="851"/>
        </w:tabs>
        <w:jc w:val="both"/>
        <w:rPr>
          <w:sz w:val="24"/>
          <w:szCs w:val="24"/>
        </w:rPr>
      </w:pPr>
      <w:r>
        <w:rPr>
          <w:b/>
          <w:sz w:val="24"/>
          <w:szCs w:val="24"/>
        </w:rPr>
        <w:t>5.7.4.</w:t>
      </w:r>
      <w:r>
        <w:rPr>
          <w:sz w:val="24"/>
          <w:szCs w:val="24"/>
        </w:rPr>
        <w:t xml:space="preserve"> Fon adına katılma paylarının alım satımı nedeniyle, İMKB Tahvil ve Bono Piyasasından aynı gün valörü ile aynı gün valörlü işlem saatleri dışında fon portföyüne alım veya fon portföyünden satım zorunluluğu bulunduğunda, İMKB'ce belirlenen işl</w:t>
      </w:r>
      <w:r>
        <w:rPr>
          <w:sz w:val="24"/>
          <w:szCs w:val="24"/>
        </w:rPr>
        <w:t>em kurallarına uyulur. Yöneticinin, fon portföyüne pay alım satım işlemlerinde, işlemi gerçekleştiren aracı kuruluşun, fonu temsil eden müşteri numarasıyla İMKB'de işlem yapmasını temin etmesi zorunludur.</w:t>
      </w:r>
    </w:p>
    <w:p w:rsidR="00142253" w:rsidRDefault="00142253">
      <w:pPr>
        <w:jc w:val="both"/>
        <w:rPr>
          <w:sz w:val="24"/>
          <w:szCs w:val="24"/>
        </w:rPr>
      </w:pPr>
    </w:p>
    <w:p w:rsidR="00142253" w:rsidRDefault="00A35816">
      <w:pPr>
        <w:jc w:val="both"/>
        <w:rPr>
          <w:sz w:val="24"/>
          <w:szCs w:val="24"/>
        </w:rPr>
      </w:pPr>
      <w:r>
        <w:rPr>
          <w:b/>
          <w:sz w:val="24"/>
          <w:szCs w:val="24"/>
        </w:rPr>
        <w:t xml:space="preserve">5.7.5. </w:t>
      </w:r>
      <w:r>
        <w:rPr>
          <w:sz w:val="24"/>
          <w:szCs w:val="24"/>
        </w:rPr>
        <w:t>Yönetici fon adına yaptığı alım satım işlem</w:t>
      </w:r>
      <w:r>
        <w:rPr>
          <w:sz w:val="24"/>
          <w:szCs w:val="24"/>
        </w:rPr>
        <w:t>lerinden dolayı herhangi bir ihraççı veya aracı kuruluşta kendi lehine bir menfaat sağlarsa, bu durumun kurucuya açıklanması zorunludur.</w:t>
      </w:r>
    </w:p>
    <w:p w:rsidR="00142253" w:rsidRDefault="00142253">
      <w:pPr>
        <w:jc w:val="both"/>
        <w:rPr>
          <w:sz w:val="24"/>
          <w:szCs w:val="24"/>
        </w:rPr>
      </w:pPr>
    </w:p>
    <w:p w:rsidR="00142253" w:rsidRDefault="00A35816">
      <w:pPr>
        <w:jc w:val="both"/>
        <w:rPr>
          <w:sz w:val="24"/>
          <w:szCs w:val="24"/>
        </w:rPr>
      </w:pPr>
      <w:r>
        <w:rPr>
          <w:b/>
          <w:sz w:val="24"/>
          <w:szCs w:val="24"/>
        </w:rPr>
        <w:t xml:space="preserve">5.7.6. </w:t>
      </w:r>
      <w:r>
        <w:rPr>
          <w:sz w:val="24"/>
          <w:szCs w:val="24"/>
        </w:rPr>
        <w:t xml:space="preserve">Herhangi bir şekilde yöneticinin kendine veya üçüncü kişilere çıkar sağlamak amacıyla fon portföyünde bulunan </w:t>
      </w:r>
      <w:r>
        <w:rPr>
          <w:sz w:val="24"/>
          <w:szCs w:val="24"/>
        </w:rPr>
        <w:t>varlıkların alım satımı yapılamaz. Fon adına verilecek emirlerde gerekli özen ve basiretin gösterilmesi zorunludur. Fon adına yapılacak alım satımlarda yönetim sözleşmesinde belirlenen genel fon stratejilerine ve kurucunun genel kararlarına uyulur.</w:t>
      </w:r>
    </w:p>
    <w:p w:rsidR="00142253" w:rsidRDefault="00142253">
      <w:pPr>
        <w:jc w:val="both"/>
        <w:rPr>
          <w:sz w:val="24"/>
          <w:szCs w:val="24"/>
        </w:rPr>
      </w:pPr>
    </w:p>
    <w:p w:rsidR="00142253" w:rsidRDefault="00A35816">
      <w:pPr>
        <w:jc w:val="both"/>
        <w:rPr>
          <w:sz w:val="24"/>
          <w:szCs w:val="24"/>
        </w:rPr>
      </w:pPr>
      <w:r>
        <w:rPr>
          <w:b/>
          <w:sz w:val="24"/>
          <w:szCs w:val="24"/>
        </w:rPr>
        <w:t xml:space="preserve">5.7.7. </w:t>
      </w:r>
      <w:r>
        <w:rPr>
          <w:sz w:val="24"/>
          <w:szCs w:val="24"/>
        </w:rPr>
        <w:t>Kurucu, fon kurulu üyeleri, yönetici ve fonların yönetimi ile ilgili olarak veya görevlerini ifa etmeleri sırasında bilgi sahibi olabilecek durumda iseler bu bilgileri kendi veya üçüncü tarafın menfaati doğrultusunda kullanamazlar.</w:t>
      </w:r>
    </w:p>
    <w:p w:rsidR="00142253" w:rsidRDefault="00A35816">
      <w:pPr>
        <w:jc w:val="both"/>
        <w:rPr>
          <w:sz w:val="24"/>
          <w:szCs w:val="24"/>
        </w:rPr>
      </w:pPr>
      <w:r>
        <w:rPr>
          <w:sz w:val="24"/>
          <w:szCs w:val="24"/>
        </w:rPr>
        <w:tab/>
      </w:r>
    </w:p>
    <w:p w:rsidR="00142253" w:rsidRDefault="00A35816">
      <w:pPr>
        <w:jc w:val="both"/>
        <w:rPr>
          <w:sz w:val="24"/>
          <w:szCs w:val="24"/>
        </w:rPr>
      </w:pPr>
      <w:r>
        <w:rPr>
          <w:b/>
          <w:sz w:val="24"/>
          <w:szCs w:val="24"/>
        </w:rPr>
        <w:t xml:space="preserve">5.8. </w:t>
      </w:r>
      <w:r>
        <w:rPr>
          <w:sz w:val="24"/>
          <w:szCs w:val="24"/>
        </w:rPr>
        <w:t>Kurucu ile</w:t>
      </w:r>
      <w:r>
        <w:rPr>
          <w:sz w:val="24"/>
          <w:szCs w:val="24"/>
        </w:rPr>
        <w:t xml:space="preserve"> katılma payı sahipleri arasındaki ilişkilerde bu içtüzük hükümleri, Sermaye Piyasası Kanunu ve ilgili mevzuat, hüküm bulunmayan hallerde ise Borçlar Kanunu'nun vekalet akdi hükümleri uygulanır. Fon içtüzüğü, katılma payı sahipleri ile kurucu, saklayıcı ve</w:t>
      </w:r>
      <w:r>
        <w:rPr>
          <w:sz w:val="24"/>
          <w:szCs w:val="24"/>
        </w:rPr>
        <w:t xml:space="preserve"> yönetici arasında fon portföyünün inançlı mülkiyet esaslarına göre saklanmasını ve vekalet akdi hükümlerine göre yönetimini konu alan, genel işlem şartlarını içeren iltihaki bir sözleşmedir.</w:t>
      </w:r>
    </w:p>
    <w:p w:rsidR="00142253" w:rsidRDefault="00142253">
      <w:pPr>
        <w:jc w:val="both"/>
        <w:rPr>
          <w:sz w:val="24"/>
          <w:szCs w:val="24"/>
        </w:rPr>
      </w:pPr>
    </w:p>
    <w:p w:rsidR="00142253" w:rsidRDefault="00A35816">
      <w:pPr>
        <w:jc w:val="both"/>
        <w:rPr>
          <w:sz w:val="24"/>
          <w:szCs w:val="24"/>
        </w:rPr>
      </w:pPr>
      <w:r>
        <w:rPr>
          <w:b/>
          <w:sz w:val="24"/>
          <w:szCs w:val="24"/>
        </w:rPr>
        <w:t xml:space="preserve">5.9. </w:t>
      </w:r>
      <w:r>
        <w:rPr>
          <w:sz w:val="24"/>
          <w:szCs w:val="24"/>
        </w:rPr>
        <w:t>Ayrıca Fon için aşağıdaki işlemler yapılabilir.</w:t>
      </w:r>
    </w:p>
    <w:p w:rsidR="00142253" w:rsidRDefault="00142253">
      <w:pPr>
        <w:jc w:val="both"/>
        <w:rPr>
          <w:sz w:val="24"/>
          <w:szCs w:val="24"/>
        </w:rPr>
      </w:pPr>
    </w:p>
    <w:p w:rsidR="00142253" w:rsidRDefault="00A35816">
      <w:pPr>
        <w:jc w:val="both"/>
        <w:rPr>
          <w:sz w:val="24"/>
          <w:szCs w:val="24"/>
        </w:rPr>
      </w:pPr>
      <w:r>
        <w:rPr>
          <w:b/>
          <w:sz w:val="24"/>
          <w:szCs w:val="24"/>
        </w:rPr>
        <w:t xml:space="preserve">5.9.1. </w:t>
      </w:r>
      <w:r>
        <w:rPr>
          <w:sz w:val="24"/>
          <w:szCs w:val="24"/>
        </w:rPr>
        <w:t>Fo</w:t>
      </w:r>
      <w:r>
        <w:rPr>
          <w:sz w:val="24"/>
          <w:szCs w:val="24"/>
        </w:rPr>
        <w:t>n portföyünün riskten korunması amacıyla döviz, kıymetli madenler, faiz, finansal göstergeler ve sermaye piyasası araçları üzerinden düzenlenmiş opsiyon sözleşmeleri, forward, finansal vadeli işlemler ve vadeli işlemlere dayalı opsiyon işlemleri dahil edil</w:t>
      </w:r>
      <w:r>
        <w:rPr>
          <w:sz w:val="24"/>
          <w:szCs w:val="24"/>
        </w:rPr>
        <w:t>ebilir, yatırım amaçlı olarak opsiyon sözleşmeleri ve Kurulca uygun görülen diğer sermaye piyasası araçları satın alınabilir. Fon portföyüne yatırım amaçlı olarak alınan opsiyon sözleşmeleri ve Kurulca uygun görülen diğer sermaye piyasası araçları nedeniyl</w:t>
      </w:r>
      <w:r>
        <w:rPr>
          <w:sz w:val="24"/>
          <w:szCs w:val="24"/>
        </w:rPr>
        <w:t xml:space="preserve">e maruz kalınan toplam risk tutarı fon toplam değerini aşamaz. </w:t>
      </w:r>
    </w:p>
    <w:p w:rsidR="00142253" w:rsidRDefault="00142253">
      <w:pPr>
        <w:jc w:val="both"/>
        <w:rPr>
          <w:sz w:val="24"/>
          <w:szCs w:val="24"/>
        </w:rPr>
      </w:pPr>
    </w:p>
    <w:p w:rsidR="00142253" w:rsidRDefault="00A35816">
      <w:pPr>
        <w:jc w:val="both"/>
        <w:rPr>
          <w:b/>
          <w:sz w:val="24"/>
          <w:szCs w:val="24"/>
        </w:rPr>
      </w:pPr>
      <w:r>
        <w:rPr>
          <w:b/>
          <w:sz w:val="24"/>
          <w:szCs w:val="24"/>
        </w:rPr>
        <w:t xml:space="preserve">5.9.2. </w:t>
      </w:r>
      <w:r>
        <w:rPr>
          <w:sz w:val="24"/>
          <w:szCs w:val="24"/>
        </w:rPr>
        <w:t>Fon varlığının % 10'unu geçmemek üzere, Sermaye Piyasası Kurulu'ndan izin alarak, fon hesabına kredi alınabilir. Bu takdirde kredinin alınması ve geri ödenmesi aşamalarında Kurul'a bil</w:t>
      </w:r>
      <w:r>
        <w:rPr>
          <w:sz w:val="24"/>
          <w:szCs w:val="24"/>
        </w:rPr>
        <w:t>gi verilir.</w:t>
      </w:r>
    </w:p>
    <w:p w:rsidR="00142253" w:rsidRDefault="00142253">
      <w:pPr>
        <w:jc w:val="both"/>
        <w:rPr>
          <w:sz w:val="24"/>
          <w:szCs w:val="24"/>
        </w:rPr>
      </w:pPr>
    </w:p>
    <w:p w:rsidR="00142253" w:rsidRDefault="00142253">
      <w:pPr>
        <w:jc w:val="both"/>
        <w:rPr>
          <w:sz w:val="24"/>
          <w:szCs w:val="24"/>
        </w:rPr>
      </w:pPr>
    </w:p>
    <w:p w:rsidR="00142253" w:rsidRDefault="00A35816">
      <w:pPr>
        <w:jc w:val="both"/>
        <w:rPr>
          <w:sz w:val="24"/>
          <w:szCs w:val="24"/>
          <w:u w:val="single"/>
        </w:rPr>
      </w:pPr>
      <w:r>
        <w:rPr>
          <w:b/>
          <w:sz w:val="24"/>
          <w:szCs w:val="24"/>
          <w:u w:val="single"/>
        </w:rPr>
        <w:t>MADDE 6-</w:t>
      </w:r>
      <w:r>
        <w:rPr>
          <w:b/>
          <w:sz w:val="24"/>
          <w:szCs w:val="24"/>
          <w:u w:val="single"/>
        </w:rPr>
        <w:tab/>
        <w:t>FON PORTFÖYÜNDEKİ VARLIKLARIN SAKLANMASI:</w:t>
      </w:r>
    </w:p>
    <w:p w:rsidR="00142253" w:rsidRDefault="00142253">
      <w:pPr>
        <w:jc w:val="both"/>
        <w:rPr>
          <w:sz w:val="24"/>
          <w:szCs w:val="24"/>
        </w:rPr>
      </w:pPr>
    </w:p>
    <w:p w:rsidR="00142253" w:rsidRDefault="00A35816">
      <w:pPr>
        <w:jc w:val="both"/>
        <w:rPr>
          <w:sz w:val="24"/>
          <w:szCs w:val="24"/>
        </w:rPr>
      </w:pPr>
      <w:r>
        <w:rPr>
          <w:b/>
          <w:sz w:val="24"/>
          <w:szCs w:val="24"/>
        </w:rPr>
        <w:t xml:space="preserve">6.1. </w:t>
      </w:r>
      <w:r>
        <w:rPr>
          <w:sz w:val="24"/>
          <w:szCs w:val="24"/>
        </w:rPr>
        <w:t>Fon portföyündeki varlıklar ile ters repo işlemi karşılığında alınan menkul kıymetler yapılacak bir sözleşme çerçevesinde İMKB Takas ve Saklama Bankası A.Ş. nezdinde saklanır.</w:t>
      </w:r>
    </w:p>
    <w:p w:rsidR="00142253" w:rsidRDefault="00142253">
      <w:pPr>
        <w:jc w:val="both"/>
        <w:rPr>
          <w:sz w:val="24"/>
          <w:szCs w:val="24"/>
        </w:rPr>
      </w:pPr>
    </w:p>
    <w:p w:rsidR="00142253" w:rsidRDefault="00A35816">
      <w:pPr>
        <w:jc w:val="both"/>
        <w:rPr>
          <w:sz w:val="24"/>
          <w:szCs w:val="24"/>
        </w:rPr>
      </w:pPr>
      <w:r>
        <w:rPr>
          <w:b/>
          <w:sz w:val="24"/>
          <w:szCs w:val="24"/>
        </w:rPr>
        <w:t xml:space="preserve">6.2. </w:t>
      </w:r>
      <w:r>
        <w:rPr>
          <w:sz w:val="24"/>
          <w:szCs w:val="24"/>
        </w:rPr>
        <w:t>Yat</w:t>
      </w:r>
      <w:r>
        <w:rPr>
          <w:sz w:val="24"/>
          <w:szCs w:val="24"/>
        </w:rPr>
        <w:t>ırım fonunun malvarlığı, kurucunun Kanun'dan, Tebliğ'den ve fon içtüzüğünden doğan yükümlülüklerini yerine getirmesi ve sorumluluğunu karşılaması dışında hiçbir amaçla kullanılamaz. Fon mal varlığı rehin edilemez, teminat gösterilemez ve üçüncü şahıslar ta</w:t>
      </w:r>
      <w:r>
        <w:rPr>
          <w:sz w:val="24"/>
          <w:szCs w:val="24"/>
        </w:rPr>
        <w:t>rafından haczedilemez.</w:t>
      </w:r>
    </w:p>
    <w:p w:rsidR="00142253" w:rsidRDefault="00142253">
      <w:pPr>
        <w:jc w:val="both"/>
        <w:rPr>
          <w:sz w:val="24"/>
          <w:szCs w:val="24"/>
        </w:rPr>
      </w:pPr>
    </w:p>
    <w:p w:rsidR="00142253" w:rsidRDefault="00A35816">
      <w:pPr>
        <w:jc w:val="both"/>
        <w:rPr>
          <w:sz w:val="24"/>
          <w:szCs w:val="24"/>
        </w:rPr>
      </w:pPr>
      <w:r>
        <w:rPr>
          <w:b/>
          <w:sz w:val="24"/>
          <w:szCs w:val="24"/>
        </w:rPr>
        <w:t>6.3</w:t>
      </w:r>
      <w:r>
        <w:rPr>
          <w:sz w:val="24"/>
          <w:szCs w:val="24"/>
        </w:rPr>
        <w:t>. Opsiyon sözleşmeleri ile ilgili belgelerin birer örneği İMKB Takas ve Saklama Bankası  A.Ş.’ne iletilir.</w:t>
      </w:r>
    </w:p>
    <w:p w:rsidR="00142253" w:rsidRDefault="00142253">
      <w:pPr>
        <w:jc w:val="both"/>
        <w:rPr>
          <w:sz w:val="24"/>
          <w:szCs w:val="24"/>
        </w:rPr>
      </w:pPr>
    </w:p>
    <w:p w:rsidR="00142253" w:rsidRDefault="00A35816">
      <w:pPr>
        <w:jc w:val="both"/>
        <w:rPr>
          <w:sz w:val="24"/>
          <w:szCs w:val="24"/>
        </w:rPr>
      </w:pPr>
      <w:r>
        <w:rPr>
          <w:b/>
          <w:sz w:val="24"/>
          <w:szCs w:val="24"/>
        </w:rPr>
        <w:t>6.4.</w:t>
      </w:r>
      <w:r>
        <w:rPr>
          <w:sz w:val="24"/>
          <w:szCs w:val="24"/>
        </w:rPr>
        <w:t xml:space="preserve"> Sermaye piyasası araçlarının el değiştirmediği ve sadece takas merkezlerinin belgeleri ile işlem yapılan ülkelerin s</w:t>
      </w:r>
      <w:r>
        <w:rPr>
          <w:sz w:val="24"/>
          <w:szCs w:val="24"/>
        </w:rPr>
        <w:t>ermaye piyasası araçlarına yatırım yapılması halinde söz konusu araçlara ilişkin saklama hizmeti ilgili aracı kuruluş tarafından sağlanır. Saklama hizmeti veren aracı kuruluş tarafından muhafazadaki sermaye piyasası araçlarının son durumu itibariyle, tamam</w:t>
      </w:r>
      <w:r>
        <w:rPr>
          <w:sz w:val="24"/>
          <w:szCs w:val="24"/>
        </w:rPr>
        <w:t>ını gösterecek şekilde düzenlenmiş belgelerin veya bunların bir örneğinin fon nezdinde sürekli olarak bulundurulması zorunludur.</w:t>
      </w:r>
    </w:p>
    <w:p w:rsidR="00142253" w:rsidRDefault="00142253">
      <w:pPr>
        <w:jc w:val="both"/>
        <w:rPr>
          <w:b/>
          <w:sz w:val="24"/>
          <w:szCs w:val="24"/>
        </w:rPr>
      </w:pPr>
    </w:p>
    <w:p w:rsidR="00142253" w:rsidRDefault="00142253">
      <w:pPr>
        <w:jc w:val="both"/>
        <w:rPr>
          <w:sz w:val="24"/>
          <w:szCs w:val="24"/>
        </w:rPr>
      </w:pPr>
    </w:p>
    <w:p w:rsidR="00142253" w:rsidRDefault="00A35816">
      <w:pPr>
        <w:jc w:val="both"/>
        <w:rPr>
          <w:sz w:val="24"/>
          <w:szCs w:val="24"/>
          <w:u w:val="single"/>
        </w:rPr>
      </w:pPr>
      <w:r>
        <w:rPr>
          <w:b/>
          <w:sz w:val="24"/>
          <w:szCs w:val="24"/>
          <w:u w:val="single"/>
        </w:rPr>
        <w:t xml:space="preserve">MADDE 7 - </w:t>
      </w:r>
      <w:r>
        <w:rPr>
          <w:b/>
          <w:sz w:val="24"/>
          <w:szCs w:val="24"/>
          <w:u w:val="single"/>
        </w:rPr>
        <w:tab/>
        <w:t>FONUN YÖNETİM STRATEJİSİ :</w:t>
      </w:r>
      <w:r>
        <w:rPr>
          <w:rStyle w:val="FootnoteReference"/>
          <w:sz w:val="24"/>
          <w:szCs w:val="24"/>
        </w:rPr>
        <w:t xml:space="preserve"> </w:t>
      </w:r>
    </w:p>
    <w:p w:rsidR="00142253" w:rsidRDefault="00142253">
      <w:pPr>
        <w:jc w:val="both"/>
        <w:rPr>
          <w:sz w:val="24"/>
          <w:szCs w:val="24"/>
        </w:rPr>
      </w:pPr>
    </w:p>
    <w:p w:rsidR="00142253" w:rsidRDefault="00A35816">
      <w:pPr>
        <w:jc w:val="both"/>
        <w:rPr>
          <w:b/>
          <w:sz w:val="24"/>
          <w:szCs w:val="24"/>
        </w:rPr>
      </w:pPr>
      <w:r>
        <w:rPr>
          <w:b/>
          <w:sz w:val="24"/>
          <w:szCs w:val="24"/>
        </w:rPr>
        <w:t>7.1. Genel Esaslar</w:t>
      </w:r>
    </w:p>
    <w:p w:rsidR="00142253" w:rsidRDefault="00142253">
      <w:pPr>
        <w:jc w:val="both"/>
        <w:rPr>
          <w:b/>
          <w:sz w:val="24"/>
          <w:szCs w:val="24"/>
        </w:rPr>
      </w:pPr>
    </w:p>
    <w:p w:rsidR="00142253" w:rsidRDefault="00A35816">
      <w:pPr>
        <w:pStyle w:val="BodyTextIndent"/>
        <w:tabs>
          <w:tab w:val="left" w:pos="709"/>
        </w:tabs>
        <w:spacing w:line="240" w:lineRule="auto"/>
        <w:ind w:right="28" w:firstLine="0"/>
        <w:rPr>
          <w:rFonts w:ascii="Times New Roman" w:hAnsi="Times New Roman"/>
          <w:b/>
          <w:szCs w:val="24"/>
        </w:rPr>
      </w:pPr>
      <w:r>
        <w:rPr>
          <w:rFonts w:ascii="Times New Roman" w:hAnsi="Times New Roman"/>
          <w:szCs w:val="24"/>
        </w:rPr>
        <w:t xml:space="preserve">Fonun amacı, izahnamede belirtilen yatırım döneminin sonunda, </w:t>
      </w:r>
      <w:r>
        <w:rPr>
          <w:rFonts w:ascii="Times New Roman" w:hAnsi="Times New Roman"/>
          <w:szCs w:val="24"/>
        </w:rPr>
        <w:t>yatırımcının anaparasının tamamının geri ödenmesi ve ayrıca, borsa dışından alınacak bir opsiyon sözleşmesi aracılığıyla İMKB - 30 Endeksinin yükselişine iştirak oranı ölçüsünde katılım sağlamaktır.</w:t>
      </w:r>
      <w:r>
        <w:rPr>
          <w:rFonts w:ascii="Times New Roman" w:hAnsi="Times New Roman"/>
          <w:b/>
          <w:szCs w:val="24"/>
        </w:rPr>
        <w:t xml:space="preserve">              </w:t>
      </w:r>
    </w:p>
    <w:p w:rsidR="00142253" w:rsidRDefault="00142253">
      <w:pPr>
        <w:jc w:val="both"/>
        <w:rPr>
          <w:sz w:val="24"/>
          <w:szCs w:val="24"/>
        </w:rPr>
      </w:pPr>
    </w:p>
    <w:p w:rsidR="00142253" w:rsidRDefault="00A35816">
      <w:pPr>
        <w:jc w:val="both"/>
        <w:rPr>
          <w:sz w:val="24"/>
          <w:szCs w:val="24"/>
        </w:rPr>
      </w:pPr>
      <w:r>
        <w:rPr>
          <w:sz w:val="24"/>
          <w:szCs w:val="24"/>
        </w:rPr>
        <w:t>Anaparanın korunması amacına yönelik olara</w:t>
      </w:r>
      <w:r>
        <w:rPr>
          <w:sz w:val="24"/>
          <w:szCs w:val="24"/>
        </w:rPr>
        <w:t>k, fon portföyünün yaklaşık %85’i ile borsa dışından ters repo sözleşmesine ya da fonun yatırım dönemi süresine uygun olması halinde devlet tahvili ve/veya hazine bonosuna yatırım yapılacaktır. Getiri hedefine yönelik olarak ise, portföyün yaklaşık %15’i i</w:t>
      </w:r>
      <w:r>
        <w:rPr>
          <w:sz w:val="24"/>
          <w:szCs w:val="24"/>
        </w:rPr>
        <w:t xml:space="preserve">le Tebliğ ve bu içtüzük ile belirlenmiş olan niteliklere sahip İMKB-30 endeksine dayalı bir opsiyon sözleşmesi borsa dışından satın alınacaktır. </w:t>
      </w:r>
    </w:p>
    <w:p w:rsidR="00142253" w:rsidRDefault="00142253">
      <w:pPr>
        <w:jc w:val="both"/>
        <w:rPr>
          <w:sz w:val="24"/>
          <w:szCs w:val="24"/>
        </w:rPr>
      </w:pPr>
    </w:p>
    <w:p w:rsidR="00142253" w:rsidRDefault="00A35816">
      <w:pPr>
        <w:jc w:val="both"/>
        <w:rPr>
          <w:sz w:val="24"/>
          <w:szCs w:val="24"/>
          <w:highlight w:val="cyan"/>
        </w:rPr>
      </w:pPr>
      <w:r>
        <w:rPr>
          <w:sz w:val="24"/>
          <w:szCs w:val="24"/>
        </w:rPr>
        <w:t>Opsiyon sözleşmesine göre;</w:t>
      </w:r>
    </w:p>
    <w:p w:rsidR="00142253" w:rsidRDefault="00A35816">
      <w:pPr>
        <w:ind w:firstLine="708"/>
        <w:jc w:val="both"/>
        <w:rPr>
          <w:sz w:val="24"/>
          <w:szCs w:val="24"/>
        </w:rPr>
      </w:pPr>
      <w:r>
        <w:rPr>
          <w:sz w:val="24"/>
          <w:szCs w:val="24"/>
        </w:rPr>
        <w:t>-Fonun yatırım dönemini oluşturan 12 aylık süre içinde, 30 günlük süreler itibariy</w:t>
      </w:r>
      <w:r>
        <w:rPr>
          <w:sz w:val="24"/>
          <w:szCs w:val="24"/>
        </w:rPr>
        <w:t>le İMKB 30 Endeks İlk Değeri ile (Endeks İlk Değeri’nin belirlenmesinde, İMKB – 30 Endeksi’nin 2 günlük kapanış değeri (opsiyon işleminin bağlandığı işlem günü ve takip eden işlem günü kapanış değerleri) basit ortalaması esas alınır. 30 günlük sürenin sonu</w:t>
      </w:r>
      <w:r>
        <w:rPr>
          <w:sz w:val="24"/>
          <w:szCs w:val="24"/>
        </w:rPr>
        <w:t>ndaki İMKB 30 Endeks Değeri ile (İMKB 30 Endeksi’nin gözlem günündeki kapanış değeri esas alınır.)  arasındaki fark bulunur; bu  fark Endeks İlk Değeri’ne bölünerek, dönemsel getiri hesaplanır.</w:t>
      </w:r>
    </w:p>
    <w:p w:rsidR="00142253" w:rsidRDefault="00A35816">
      <w:pPr>
        <w:ind w:firstLine="708"/>
        <w:jc w:val="both"/>
        <w:rPr>
          <w:sz w:val="24"/>
          <w:szCs w:val="24"/>
        </w:rPr>
      </w:pPr>
      <w:r>
        <w:rPr>
          <w:sz w:val="24"/>
          <w:szCs w:val="24"/>
        </w:rPr>
        <w:t>- Fonun yatırım döneminin sonuna kadar bu şekilde 30 günlük sü</w:t>
      </w:r>
      <w:r>
        <w:rPr>
          <w:sz w:val="24"/>
          <w:szCs w:val="24"/>
        </w:rPr>
        <w:t xml:space="preserve">reler için 12 defa yapılan gözlemler neticesinde hesaplanan getirilerin basit ortalaması alınır. </w:t>
      </w:r>
      <w:r>
        <w:rPr>
          <w:sz w:val="24"/>
          <w:szCs w:val="24"/>
          <w:lang w:eastAsia="tr-TR"/>
        </w:rPr>
        <w:t xml:space="preserve">Ancak herhangi bir gözlem günündeki dönemsel getiriler negatif ise, söz konusu gözlem dönemi getirisi sıfır olarak kabul edilir. </w:t>
      </w:r>
    </w:p>
    <w:p w:rsidR="00142253" w:rsidRDefault="00A35816">
      <w:pPr>
        <w:ind w:firstLine="708"/>
        <w:jc w:val="both"/>
        <w:rPr>
          <w:sz w:val="24"/>
          <w:szCs w:val="24"/>
        </w:rPr>
      </w:pPr>
      <w:r>
        <w:rPr>
          <w:sz w:val="24"/>
          <w:szCs w:val="24"/>
        </w:rPr>
        <w:t>- Eğer 12 aylık ortalama sıfı</w:t>
      </w:r>
      <w:r>
        <w:rPr>
          <w:sz w:val="24"/>
          <w:szCs w:val="24"/>
        </w:rPr>
        <w:t>rdan küçükse yatırımcı anaparasının üzerinde başka bir getiri elde edemeyecek; ortalama sıfırdan büyükse bir getiri oluşacaktır.</w:t>
      </w:r>
    </w:p>
    <w:p w:rsidR="00142253" w:rsidRDefault="00A35816">
      <w:pPr>
        <w:ind w:firstLine="708"/>
        <w:jc w:val="both"/>
        <w:rPr>
          <w:sz w:val="24"/>
          <w:szCs w:val="24"/>
        </w:rPr>
      </w:pPr>
      <w:r>
        <w:rPr>
          <w:sz w:val="24"/>
          <w:szCs w:val="24"/>
        </w:rPr>
        <w:t>- Bu şekilde getirinin belirlenmesini takiben, söz konusu getiri iştirak oranı ile çarpılmak suretiyle fonun getiriye katılım m</w:t>
      </w:r>
      <w:r>
        <w:rPr>
          <w:sz w:val="24"/>
          <w:szCs w:val="24"/>
        </w:rPr>
        <w:t>iktarı belirlenir.</w:t>
      </w:r>
    </w:p>
    <w:p w:rsidR="00142253" w:rsidRDefault="00142253">
      <w:pPr>
        <w:autoSpaceDE w:val="0"/>
        <w:autoSpaceDN w:val="0"/>
        <w:adjustRightInd w:val="0"/>
        <w:jc w:val="both"/>
        <w:rPr>
          <w:sz w:val="24"/>
          <w:szCs w:val="24"/>
        </w:rPr>
      </w:pPr>
    </w:p>
    <w:p w:rsidR="00142253" w:rsidRDefault="00A35816">
      <w:pPr>
        <w:autoSpaceDE w:val="0"/>
        <w:autoSpaceDN w:val="0"/>
        <w:adjustRightInd w:val="0"/>
        <w:jc w:val="both"/>
        <w:rPr>
          <w:sz w:val="24"/>
          <w:szCs w:val="24"/>
        </w:rPr>
      </w:pPr>
      <w:r>
        <w:rPr>
          <w:sz w:val="24"/>
          <w:szCs w:val="24"/>
        </w:rPr>
        <w:t>Opsiyon sözleşmelerinde, getiri opsiyonun dayanak varlığının getirisi ile aynı olmayabilir. Bunun temel nedeni yatırımın doğrudan dayanak varlığa değil, sözleşmede belirlenen esaslar çerçevesinde söz konusu varlığı dayanak alan bir opsi</w:t>
      </w:r>
      <w:r>
        <w:rPr>
          <w:sz w:val="24"/>
          <w:szCs w:val="24"/>
        </w:rPr>
        <w:t>yon sözleşmesine yatırım yapılmasıdır. Dolayısıyla, Fon portföyüne yansıtılacak getiri tamamiyle opsiyon sözleşmesinin şartlarına göre oluşacaktır. Opsiyon sözleşmesi çerçevesinde oluşan getiriye fonun katılım oranı olan iştirak oranı ile ilgili detaylı bi</w:t>
      </w:r>
      <w:r>
        <w:rPr>
          <w:sz w:val="24"/>
          <w:szCs w:val="24"/>
        </w:rPr>
        <w:t xml:space="preserve">lgiler fon izahnamesinde yer almaktadır.  </w:t>
      </w:r>
    </w:p>
    <w:p w:rsidR="00142253" w:rsidRDefault="00142253">
      <w:pPr>
        <w:jc w:val="both"/>
        <w:rPr>
          <w:sz w:val="24"/>
          <w:szCs w:val="24"/>
        </w:rPr>
      </w:pPr>
    </w:p>
    <w:p w:rsidR="00142253" w:rsidRDefault="00A35816">
      <w:pPr>
        <w:jc w:val="both"/>
        <w:rPr>
          <w:sz w:val="24"/>
          <w:szCs w:val="24"/>
          <w:lang w:eastAsia="tr-TR"/>
        </w:rPr>
      </w:pPr>
      <w:r>
        <w:rPr>
          <w:sz w:val="24"/>
          <w:szCs w:val="24"/>
        </w:rPr>
        <w:t>Fonun portföy yapısı statik ve portföy yönetim şekli pasif olacaktır. Fon portföyü talep toplama dönemini takip eden dönemde oluşturulacaktır ve opsiyon ve ters repo sözleşmelerinin işleme konulmasından itibaren,</w:t>
      </w:r>
      <w:r>
        <w:rPr>
          <w:sz w:val="24"/>
          <w:szCs w:val="24"/>
        </w:rPr>
        <w:t xml:space="preserve"> yatırım dönemi sonuna kadar herhangi bir başka işlem gerçekleştirilmeyecektir.</w:t>
      </w:r>
      <w:r>
        <w:rPr>
          <w:b/>
          <w:color w:val="FF0000"/>
          <w:sz w:val="24"/>
          <w:szCs w:val="24"/>
        </w:rPr>
        <w:t xml:space="preserve"> </w:t>
      </w:r>
      <w:r>
        <w:rPr>
          <w:sz w:val="24"/>
          <w:szCs w:val="24"/>
          <w:lang w:eastAsia="tr-TR"/>
        </w:rPr>
        <w:t>Fonun portföy yönetim stratejisinde ve türünde fonun yatırım dönemi süresince değişiklik yapılmayacaktır.</w:t>
      </w:r>
    </w:p>
    <w:p w:rsidR="00142253" w:rsidRDefault="00142253">
      <w:pPr>
        <w:jc w:val="both"/>
        <w:rPr>
          <w:sz w:val="24"/>
          <w:szCs w:val="24"/>
          <w:lang w:eastAsia="tr-TR"/>
        </w:rPr>
      </w:pPr>
    </w:p>
    <w:p w:rsidR="00142253" w:rsidRDefault="00A35816">
      <w:pPr>
        <w:autoSpaceDE w:val="0"/>
        <w:autoSpaceDN w:val="0"/>
        <w:adjustRightInd w:val="0"/>
        <w:jc w:val="both"/>
        <w:rPr>
          <w:sz w:val="24"/>
          <w:szCs w:val="24"/>
        </w:rPr>
      </w:pPr>
      <w:r>
        <w:rPr>
          <w:sz w:val="24"/>
          <w:szCs w:val="24"/>
        </w:rPr>
        <w:t xml:space="preserve">Yukarıda yer verilen varlık oranları piyasa koşullarına bağlı olarak </w:t>
      </w:r>
      <w:r>
        <w:rPr>
          <w:sz w:val="24"/>
          <w:szCs w:val="24"/>
        </w:rPr>
        <w:t>değişebileceğinden, kesinleşen portföy dağılımı ile gerekli görülen diğer bilgiler, en geç yatırım dönemi başlangıç tarihini takip eden 2 işgünü içerisinde sirkülerin ilan edildiği Türkiye çapında yayın yapan en az iki günlük gazetenin Türkiye baskısında y</w:t>
      </w:r>
      <w:r>
        <w:rPr>
          <w:sz w:val="24"/>
          <w:szCs w:val="24"/>
        </w:rPr>
        <w:t>apılacak ilan ve Kurucu tarafından uygun görülen diğer yöntemlerle (internet, elektronik posta vb.) kamuya duyurulacaktır.</w:t>
      </w:r>
    </w:p>
    <w:p w:rsidR="00142253" w:rsidRDefault="00142253">
      <w:pPr>
        <w:jc w:val="both"/>
        <w:rPr>
          <w:sz w:val="24"/>
          <w:szCs w:val="24"/>
          <w:lang w:eastAsia="tr-TR"/>
        </w:rPr>
      </w:pPr>
    </w:p>
    <w:p w:rsidR="00142253" w:rsidRDefault="00A35816">
      <w:pPr>
        <w:jc w:val="both"/>
        <w:rPr>
          <w:b/>
          <w:sz w:val="24"/>
          <w:szCs w:val="24"/>
          <w:u w:val="single"/>
        </w:rPr>
      </w:pPr>
      <w:r>
        <w:rPr>
          <w:b/>
          <w:sz w:val="24"/>
          <w:szCs w:val="24"/>
          <w:u w:val="single"/>
        </w:rPr>
        <w:t xml:space="preserve">MADDE 8- ANAPARA KORUMASINDAN VE OLASI GETİRİDEN YARARLANMA ESASLARI  </w:t>
      </w:r>
    </w:p>
    <w:p w:rsidR="00142253" w:rsidRDefault="00142253">
      <w:pPr>
        <w:jc w:val="both"/>
        <w:rPr>
          <w:b/>
          <w:sz w:val="24"/>
          <w:szCs w:val="24"/>
          <w:u w:val="single"/>
        </w:rPr>
      </w:pPr>
    </w:p>
    <w:p w:rsidR="00142253" w:rsidRDefault="00A35816">
      <w:pPr>
        <w:jc w:val="both"/>
        <w:rPr>
          <w:sz w:val="24"/>
          <w:szCs w:val="24"/>
        </w:rPr>
      </w:pPr>
      <w:r>
        <w:rPr>
          <w:sz w:val="24"/>
          <w:szCs w:val="24"/>
        </w:rPr>
        <w:t>Anapara koruması fonun yatırım döneminin bittiği tarih itiba</w:t>
      </w:r>
      <w:r>
        <w:rPr>
          <w:sz w:val="24"/>
          <w:szCs w:val="24"/>
        </w:rPr>
        <w:t>riyle geçerli olacaktır. Bu içtüzüğün (7) nolu bölümünde hesaplanma şekline yer verilen olası getiri de yatırım dönemi sonu için geçerlidir. Dolayısıyla, yatırımcıların hedeflenen anapara korumasından ve olası getiriden yaralanabilmeleri için izahnamede be</w:t>
      </w:r>
      <w:r>
        <w:rPr>
          <w:sz w:val="24"/>
          <w:szCs w:val="24"/>
        </w:rPr>
        <w:t>lirtilen yatırım döneminin sonuna kadar fonda kalmaları gereklidir.</w:t>
      </w:r>
    </w:p>
    <w:p w:rsidR="00142253" w:rsidRDefault="00142253">
      <w:pPr>
        <w:jc w:val="both"/>
        <w:rPr>
          <w:sz w:val="24"/>
          <w:szCs w:val="24"/>
        </w:rPr>
      </w:pPr>
    </w:p>
    <w:p w:rsidR="00142253" w:rsidRDefault="00A35816">
      <w:pPr>
        <w:jc w:val="both"/>
        <w:rPr>
          <w:sz w:val="24"/>
          <w:szCs w:val="24"/>
        </w:rPr>
      </w:pPr>
      <w:r>
        <w:rPr>
          <w:sz w:val="24"/>
          <w:szCs w:val="24"/>
        </w:rPr>
        <w:t>Yatırım dönemi sonuna kadar olan sürede ise, ilgili gündeki piyasa koşullarına bağlı olarak, açıklanan fon fiyatı üzerinden yatırımcılara ödenecek tutarın anaparanın altında kalma olasılı</w:t>
      </w:r>
      <w:r>
        <w:rPr>
          <w:sz w:val="24"/>
          <w:szCs w:val="24"/>
        </w:rPr>
        <w:t>ğı bulunmaktadır. Dolayısıyla, yatırımcıların fon paylarını fonun yatırım dönemi sonundan önceki bir tarihte fona iade etmeleri halinde herhangi bir anapara koruması söz konusu olmadığı gibi,  %5 oranında erken çıkış ücreti uygulanacaktır</w:t>
      </w:r>
      <w:r>
        <w:rPr>
          <w:b/>
          <w:color w:val="FF0000"/>
          <w:sz w:val="24"/>
          <w:szCs w:val="24"/>
        </w:rPr>
        <w:t xml:space="preserve">. </w:t>
      </w:r>
    </w:p>
    <w:p w:rsidR="00142253" w:rsidRDefault="00142253">
      <w:pPr>
        <w:jc w:val="both"/>
        <w:rPr>
          <w:sz w:val="24"/>
          <w:szCs w:val="24"/>
          <w:lang w:eastAsia="tr-TR"/>
        </w:rPr>
      </w:pPr>
    </w:p>
    <w:p w:rsidR="00142253" w:rsidRDefault="00A35816">
      <w:pPr>
        <w:jc w:val="both"/>
        <w:rPr>
          <w:b/>
          <w:sz w:val="24"/>
          <w:szCs w:val="24"/>
          <w:u w:val="single"/>
        </w:rPr>
      </w:pPr>
      <w:r>
        <w:rPr>
          <w:b/>
          <w:sz w:val="24"/>
          <w:szCs w:val="24"/>
          <w:u w:val="single"/>
        </w:rPr>
        <w:t>MADDE 9-</w:t>
      </w:r>
      <w:r>
        <w:rPr>
          <w:b/>
          <w:sz w:val="24"/>
          <w:szCs w:val="24"/>
          <w:u w:val="single"/>
        </w:rPr>
        <w:tab/>
        <w:t>FON'U</w:t>
      </w:r>
      <w:r>
        <w:rPr>
          <w:b/>
          <w:sz w:val="24"/>
          <w:szCs w:val="24"/>
          <w:u w:val="single"/>
        </w:rPr>
        <w:t>N YATIRIM YAPACAĞI SERMAYE PİYASASI ARAÇLARININ SEÇİMİ VE RİSKİN DAĞITILMASI ESASLARI:</w:t>
      </w:r>
    </w:p>
    <w:p w:rsidR="00142253" w:rsidRDefault="00142253">
      <w:pPr>
        <w:jc w:val="both"/>
        <w:rPr>
          <w:b/>
          <w:sz w:val="24"/>
          <w:szCs w:val="24"/>
          <w:u w:val="single"/>
        </w:rPr>
      </w:pPr>
    </w:p>
    <w:p w:rsidR="00142253" w:rsidRDefault="00A35816">
      <w:pPr>
        <w:jc w:val="both"/>
        <w:rPr>
          <w:sz w:val="24"/>
          <w:szCs w:val="24"/>
        </w:rPr>
      </w:pPr>
      <w:r>
        <w:rPr>
          <w:b/>
          <w:sz w:val="24"/>
          <w:szCs w:val="24"/>
        </w:rPr>
        <w:t xml:space="preserve">9.1. </w:t>
      </w:r>
      <w:r>
        <w:rPr>
          <w:sz w:val="24"/>
          <w:szCs w:val="24"/>
        </w:rPr>
        <w:t>Portföye alınacak varlıklara ilişkin olarak Tebliğ ve diğer ilgili Kurul düzenlemelerinde yer alan esaslara uyulur.</w:t>
      </w:r>
    </w:p>
    <w:p w:rsidR="00142253" w:rsidRDefault="00142253">
      <w:pPr>
        <w:pStyle w:val="List2"/>
        <w:ind w:left="0" w:firstLine="0"/>
        <w:jc w:val="both"/>
        <w:rPr>
          <w:sz w:val="24"/>
          <w:szCs w:val="24"/>
        </w:rPr>
      </w:pPr>
    </w:p>
    <w:p w:rsidR="00142253" w:rsidRDefault="00A35816">
      <w:pPr>
        <w:jc w:val="both"/>
        <w:rPr>
          <w:sz w:val="24"/>
          <w:szCs w:val="24"/>
        </w:rPr>
      </w:pPr>
      <w:r>
        <w:rPr>
          <w:b/>
          <w:sz w:val="24"/>
          <w:szCs w:val="24"/>
        </w:rPr>
        <w:t xml:space="preserve">9.2. </w:t>
      </w:r>
      <w:r>
        <w:rPr>
          <w:sz w:val="24"/>
          <w:szCs w:val="24"/>
        </w:rPr>
        <w:t xml:space="preserve">Fon bankalar nezdinde vadeli mevduat </w:t>
      </w:r>
      <w:r>
        <w:rPr>
          <w:sz w:val="24"/>
          <w:szCs w:val="24"/>
        </w:rPr>
        <w:t>tutamaz, mevduat sertifikası ile yabancı yatırım ortaklıklarının paylarını ve yatırım fonlarının katılma paylarını satın alamaz. Fon portföy değerinin en fazla %20’si nakit değerlendirmek üzere yapılan İMKB Takas ve Saklama Bankası A.Ş. nezdindeki borsa pa</w:t>
      </w:r>
      <w:r>
        <w:rPr>
          <w:sz w:val="24"/>
          <w:szCs w:val="24"/>
        </w:rPr>
        <w:t>ra piyasası işlemlerinden oluşur. Fon'un operasyonel işlemleri nedeniyle oluşabilecek likidite ihtiyacının karşılaması amacıyla nakit tutulabilir.</w:t>
      </w:r>
    </w:p>
    <w:p w:rsidR="00142253" w:rsidRDefault="00142253">
      <w:pPr>
        <w:jc w:val="both"/>
        <w:rPr>
          <w:sz w:val="24"/>
          <w:szCs w:val="24"/>
        </w:rPr>
      </w:pPr>
    </w:p>
    <w:p w:rsidR="00142253" w:rsidRDefault="00A35816">
      <w:pPr>
        <w:jc w:val="both"/>
        <w:rPr>
          <w:sz w:val="24"/>
          <w:szCs w:val="24"/>
        </w:rPr>
      </w:pPr>
      <w:r>
        <w:rPr>
          <w:b/>
          <w:sz w:val="24"/>
          <w:szCs w:val="24"/>
        </w:rPr>
        <w:t xml:space="preserve">9.3. </w:t>
      </w:r>
      <w:r>
        <w:rPr>
          <w:sz w:val="24"/>
          <w:szCs w:val="24"/>
        </w:rPr>
        <w:t xml:space="preserve">Türk Devleti, il özel idareleri, Kamu Ortaklığı İdaresi ve belediyelerin sermaye piyasası araçları ile </w:t>
      </w:r>
      <w:r>
        <w:rPr>
          <w:sz w:val="24"/>
          <w:szCs w:val="24"/>
        </w:rPr>
        <w:t>Devletin kefalet ettiği diğer kuruluşların sermaye piyasası araçlarının toplam değeri fon portföy değerinin en az %0 en çok %100'ünü oluşturur.</w:t>
      </w:r>
    </w:p>
    <w:p w:rsidR="00142253" w:rsidRDefault="00142253">
      <w:pPr>
        <w:jc w:val="both"/>
        <w:rPr>
          <w:sz w:val="24"/>
          <w:szCs w:val="24"/>
        </w:rPr>
      </w:pPr>
    </w:p>
    <w:p w:rsidR="00142253" w:rsidRDefault="00A35816">
      <w:pPr>
        <w:jc w:val="both"/>
        <w:rPr>
          <w:sz w:val="24"/>
          <w:szCs w:val="24"/>
        </w:rPr>
      </w:pPr>
      <w:r>
        <w:rPr>
          <w:sz w:val="24"/>
          <w:szCs w:val="24"/>
        </w:rPr>
        <w:t>Mevzuat uyarınca izin verilmiş olan sermaye piyasası araçlarına dayalı olarak yapılabilecek ters repoların değe</w:t>
      </w:r>
      <w:r>
        <w:rPr>
          <w:sz w:val="24"/>
          <w:szCs w:val="24"/>
        </w:rPr>
        <w:t>ri fon portföy değerinin en az % 0 en çok % 100’ünü oluşturur.</w:t>
      </w:r>
    </w:p>
    <w:p w:rsidR="00142253" w:rsidRDefault="00142253">
      <w:pPr>
        <w:jc w:val="both"/>
        <w:rPr>
          <w:b/>
          <w:i/>
          <w:sz w:val="24"/>
          <w:szCs w:val="24"/>
        </w:rPr>
      </w:pPr>
    </w:p>
    <w:p w:rsidR="00142253" w:rsidRDefault="00A35816">
      <w:pPr>
        <w:jc w:val="both"/>
        <w:rPr>
          <w:sz w:val="24"/>
          <w:szCs w:val="24"/>
        </w:rPr>
      </w:pPr>
      <w:r>
        <w:rPr>
          <w:sz w:val="24"/>
          <w:szCs w:val="24"/>
        </w:rPr>
        <w:t>Tebliğ’in 43/b maddesinde yer alan şartlar çerçevesinde fon portföyüne borsa dışından alınan ters repo sözleşmelerinin değeri fon portföy değerinin en az %0 en çok %100’ünü oluşturur.</w:t>
      </w:r>
      <w:r>
        <w:rPr>
          <w:color w:val="FF0000"/>
          <w:sz w:val="24"/>
          <w:szCs w:val="24"/>
        </w:rPr>
        <w:t xml:space="preserve"> </w:t>
      </w:r>
      <w:r>
        <w:rPr>
          <w:color w:val="000000"/>
          <w:sz w:val="24"/>
          <w:szCs w:val="24"/>
        </w:rPr>
        <w:t>Borsa dı</w:t>
      </w:r>
      <w:r>
        <w:rPr>
          <w:color w:val="000000"/>
          <w:sz w:val="24"/>
          <w:szCs w:val="24"/>
        </w:rPr>
        <w:t xml:space="preserve">şında yabancı kurumlarla yapılan ters repo sözleşmelerine ancak sermaye piyasası mevzuatı uyarınca ters repo sözleşmelerine konu olabilecek menkul kıymetlere eşdeğer menkul kıymetler konu olabilir. </w:t>
      </w:r>
      <w:r>
        <w:rPr>
          <w:sz w:val="24"/>
          <w:szCs w:val="24"/>
        </w:rPr>
        <w:t xml:space="preserve"> </w:t>
      </w:r>
    </w:p>
    <w:p w:rsidR="00142253" w:rsidRDefault="00142253">
      <w:pPr>
        <w:tabs>
          <w:tab w:val="left" w:pos="851"/>
        </w:tabs>
        <w:jc w:val="both"/>
        <w:rPr>
          <w:color w:val="FF0000"/>
          <w:sz w:val="24"/>
          <w:szCs w:val="24"/>
        </w:rPr>
      </w:pPr>
    </w:p>
    <w:p w:rsidR="00142253" w:rsidRDefault="00A35816">
      <w:pPr>
        <w:pStyle w:val="BodyText2"/>
        <w:jc w:val="both"/>
        <w:rPr>
          <w:rFonts w:ascii="Times New Roman" w:hAnsi="Times New Roman"/>
          <w:szCs w:val="24"/>
        </w:rPr>
      </w:pPr>
      <w:r>
        <w:rPr>
          <w:rFonts w:ascii="Times New Roman" w:hAnsi="Times New Roman"/>
          <w:b/>
          <w:szCs w:val="24"/>
        </w:rPr>
        <w:t>9.4.</w:t>
      </w:r>
      <w:r>
        <w:rPr>
          <w:rFonts w:ascii="Times New Roman" w:hAnsi="Times New Roman"/>
          <w:szCs w:val="24"/>
        </w:rPr>
        <w:t xml:space="preserve"> Fon’a yabancı devlet, kamu sermaye piyasası araçla</w:t>
      </w:r>
      <w:r>
        <w:rPr>
          <w:rFonts w:ascii="Times New Roman" w:hAnsi="Times New Roman"/>
          <w:szCs w:val="24"/>
        </w:rPr>
        <w:t>rından yalnızca OECD ülkelerine ait olanlar alınabilir. Bu ülkeler dışındaki ülkelerin kamu otoritelerince ihraç edilmiş bulunan kamu sermaye piyasası araçlarına yatırım yapılamaz. Fon'a yabancı yerel yönetimlerce ihraç edilmiş sermaye piyasası araçları al</w:t>
      </w:r>
      <w:r>
        <w:rPr>
          <w:rFonts w:ascii="Times New Roman" w:hAnsi="Times New Roman"/>
          <w:szCs w:val="24"/>
        </w:rPr>
        <w:t>ınamaz.</w:t>
      </w:r>
    </w:p>
    <w:p w:rsidR="00142253" w:rsidRDefault="00142253">
      <w:pPr>
        <w:pStyle w:val="BodyText2"/>
        <w:jc w:val="both"/>
        <w:rPr>
          <w:rFonts w:ascii="Times New Roman" w:hAnsi="Times New Roman"/>
          <w:szCs w:val="24"/>
        </w:rPr>
      </w:pPr>
    </w:p>
    <w:p w:rsidR="00142253" w:rsidRDefault="00A35816">
      <w:pPr>
        <w:pStyle w:val="BodyText2"/>
        <w:jc w:val="both"/>
        <w:rPr>
          <w:rFonts w:ascii="Times New Roman" w:hAnsi="Times New Roman"/>
          <w:szCs w:val="24"/>
        </w:rPr>
      </w:pPr>
      <w:r>
        <w:rPr>
          <w:rFonts w:ascii="Times New Roman" w:hAnsi="Times New Roman"/>
          <w:szCs w:val="24"/>
        </w:rPr>
        <w:t>Fon portföyüne borçluluk ifade eden yabancı sermaye piyasası araçlarından yalnızca ikincil piyasada işlem görenler ve derecelendirmeye tabi tutulmuş olanlar alınır. İlgili kıymetin derecesini belirleyen belgeler fon nezdinde bulundurulur. Derecele</w:t>
      </w:r>
      <w:r>
        <w:rPr>
          <w:rFonts w:ascii="Times New Roman" w:hAnsi="Times New Roman"/>
          <w:szCs w:val="24"/>
        </w:rPr>
        <w:t>ndirme mekanizması bulunmayan ülkelerde ihraç edilmiş sermaye piyasası araçları fon portföyüne alınamaz.</w:t>
      </w:r>
    </w:p>
    <w:p w:rsidR="00142253" w:rsidRDefault="00142253">
      <w:pPr>
        <w:pStyle w:val="BodyText2"/>
        <w:jc w:val="both"/>
        <w:rPr>
          <w:rFonts w:ascii="Times New Roman" w:hAnsi="Times New Roman"/>
          <w:szCs w:val="24"/>
        </w:rPr>
      </w:pPr>
    </w:p>
    <w:p w:rsidR="00142253" w:rsidRDefault="00A35816">
      <w:pPr>
        <w:pStyle w:val="BodyText2"/>
        <w:jc w:val="both"/>
        <w:rPr>
          <w:rFonts w:ascii="Times New Roman" w:hAnsi="Times New Roman"/>
          <w:szCs w:val="24"/>
        </w:rPr>
      </w:pPr>
      <w:r>
        <w:rPr>
          <w:rFonts w:ascii="Times New Roman" w:hAnsi="Times New Roman"/>
          <w:szCs w:val="24"/>
        </w:rPr>
        <w:t>Fon ancak T.C. Merkez Bankasınca alım satımı yapılan para birimleri üzerinden ihraç edilmiş yabancı sermaye piyasası araçlarına yatırım yapılabilir.</w:t>
      </w:r>
    </w:p>
    <w:p w:rsidR="00142253" w:rsidRDefault="00142253">
      <w:pPr>
        <w:pStyle w:val="BodyText2"/>
        <w:jc w:val="both"/>
        <w:rPr>
          <w:rFonts w:ascii="Times New Roman" w:hAnsi="Times New Roman"/>
          <w:szCs w:val="24"/>
        </w:rPr>
      </w:pPr>
    </w:p>
    <w:p w:rsidR="00142253" w:rsidRDefault="00A35816">
      <w:pPr>
        <w:pStyle w:val="BodyText2"/>
        <w:jc w:val="both"/>
        <w:rPr>
          <w:rFonts w:ascii="Times New Roman" w:hAnsi="Times New Roman"/>
          <w:szCs w:val="24"/>
        </w:rPr>
      </w:pPr>
      <w:r>
        <w:rPr>
          <w:rFonts w:ascii="Times New Roman" w:hAnsi="Times New Roman"/>
          <w:szCs w:val="24"/>
        </w:rPr>
        <w:t>Fon portföyünde bulunan ve borsada işlem gören yabancı sermaye piyasası araçları satın alındığı veya kote olduğu diğer borsalarda satılabilir. Bu kıymetler Türkiye içinde, Türkiye'de veya dışarıda yerleşik kişilere satılamaz ve bu kişilerden satın alınamaz</w:t>
      </w:r>
      <w:r>
        <w:rPr>
          <w:rFonts w:ascii="Times New Roman" w:hAnsi="Times New Roman"/>
          <w:szCs w:val="24"/>
        </w:rPr>
        <w:t>.</w:t>
      </w:r>
    </w:p>
    <w:p w:rsidR="00142253" w:rsidRDefault="00142253">
      <w:pPr>
        <w:jc w:val="both"/>
        <w:rPr>
          <w:sz w:val="24"/>
          <w:szCs w:val="24"/>
        </w:rPr>
      </w:pPr>
    </w:p>
    <w:p w:rsidR="00142253" w:rsidRDefault="00A35816">
      <w:pPr>
        <w:jc w:val="both"/>
        <w:rPr>
          <w:sz w:val="24"/>
          <w:szCs w:val="24"/>
        </w:rPr>
      </w:pPr>
      <w:r>
        <w:rPr>
          <w:b/>
          <w:sz w:val="24"/>
          <w:szCs w:val="24"/>
        </w:rPr>
        <w:t>9.5.</w:t>
      </w:r>
      <w:r>
        <w:rPr>
          <w:sz w:val="24"/>
          <w:szCs w:val="24"/>
        </w:rPr>
        <w:t xml:space="preserve"> Yatırım yapılacak yabancı sermaye piyasası araçlarını çıkaran kuruluşlar hakkında ve değerlemeye esas olacak fiyat hareketleri konusunda gerekli bilgileri yönetici sağlar. Yönetici fona alınacak yabancı sermaye piyasası araçlarının tabi olduğu ilgili ülke</w:t>
      </w:r>
      <w:r>
        <w:rPr>
          <w:sz w:val="24"/>
          <w:szCs w:val="24"/>
        </w:rPr>
        <w:t xml:space="preserve"> mevzuatına göre borsada satışına ve bedellerinin transferine ilişkin kısıtlamaların bulunup bulunmadığını araştırmak zorundadır. Bu tür kısıtlamaları olan sermaye piyasası araçları portföye alınamaz.</w:t>
      </w:r>
    </w:p>
    <w:p w:rsidR="00142253" w:rsidRDefault="00A35816">
      <w:pPr>
        <w:jc w:val="both"/>
        <w:rPr>
          <w:sz w:val="24"/>
          <w:szCs w:val="24"/>
          <w:vertAlign w:val="superscript"/>
        </w:rPr>
      </w:pPr>
      <w:r>
        <w:rPr>
          <w:sz w:val="24"/>
          <w:szCs w:val="24"/>
          <w:vertAlign w:val="superscript"/>
        </w:rPr>
        <w:t xml:space="preserve"> </w:t>
      </w:r>
    </w:p>
    <w:p w:rsidR="00142253" w:rsidRDefault="00A35816">
      <w:pPr>
        <w:pStyle w:val="BodyText"/>
        <w:rPr>
          <w:szCs w:val="24"/>
        </w:rPr>
      </w:pPr>
      <w:r>
        <w:rPr>
          <w:szCs w:val="24"/>
        </w:rPr>
        <w:t>Fonun yabancı ülkelerde yatırım yapacağı sermaye piya</w:t>
      </w:r>
      <w:r>
        <w:rPr>
          <w:szCs w:val="24"/>
        </w:rPr>
        <w:t xml:space="preserve">sası araçlarına ilişkin işlemleri o ülke düzenlemelerine göre faaliyet gösteren aracı kuruluşlar vasıtasıyla yürütülür. Yabancı borsalara fon adına verilen müşteri emirleri ve bunların gerçekleştiğine ilişkin aracı kuruluşlardan alınmış teyitler, ödeme ve </w:t>
      </w:r>
      <w:r>
        <w:rPr>
          <w:szCs w:val="24"/>
        </w:rPr>
        <w:t>tahsilat makbuzları fon adına muhafaza edilir.</w:t>
      </w:r>
    </w:p>
    <w:p w:rsidR="00142253" w:rsidRDefault="00142253">
      <w:pPr>
        <w:jc w:val="both"/>
        <w:rPr>
          <w:color w:val="000000"/>
          <w:sz w:val="24"/>
          <w:szCs w:val="24"/>
        </w:rPr>
      </w:pPr>
    </w:p>
    <w:p w:rsidR="00142253" w:rsidRDefault="00A35816">
      <w:pPr>
        <w:tabs>
          <w:tab w:val="left" w:pos="0"/>
          <w:tab w:val="left" w:pos="1080"/>
        </w:tabs>
        <w:jc w:val="both"/>
        <w:rPr>
          <w:sz w:val="24"/>
          <w:szCs w:val="24"/>
        </w:rPr>
      </w:pPr>
      <w:r>
        <w:rPr>
          <w:b/>
          <w:color w:val="000000"/>
          <w:sz w:val="24"/>
          <w:szCs w:val="24"/>
        </w:rPr>
        <w:t>9.6.</w:t>
      </w:r>
      <w:r>
        <w:rPr>
          <w:color w:val="000000"/>
          <w:sz w:val="24"/>
          <w:szCs w:val="24"/>
        </w:rPr>
        <w:t xml:space="preserve"> F</w:t>
      </w:r>
      <w:r>
        <w:rPr>
          <w:sz w:val="24"/>
          <w:szCs w:val="24"/>
        </w:rPr>
        <w:t>on portföyüne yatırım amaçlı olarak alınan opsiyon sözleşmeleri ve Kurulca uygun görülen diğer sermaye piyasası araçları nedeniyle maruz kalınan toplam risk tutarı fon toplam değerini aşamaz. Fon portfö</w:t>
      </w:r>
      <w:r>
        <w:rPr>
          <w:sz w:val="24"/>
          <w:szCs w:val="24"/>
        </w:rPr>
        <w:t>yüne borsa dışından alınan türev araçlar nedeniyle maruz kalınan karşı taraf riski ise fon toplam değerinin %20’sini aşamaz. Bu sınırlamaya uyumun yalnızca söz konusu varlıkların portföye dahil edilmeleri aşamasında sağlanması yeterlidir.  Fon portföyüne b</w:t>
      </w:r>
      <w:r>
        <w:rPr>
          <w:sz w:val="24"/>
          <w:szCs w:val="24"/>
        </w:rPr>
        <w:t>orsa dışından alınan türev araçlar için sermaye piyasası düzenlemelerinde yer alan niteliklere sahip teminat alınması halinde, her bir türev araç için alınan teminat söz konusu türev aracın karşı taraf riskinin hesaplanmasında dikkate alınır.</w:t>
      </w:r>
    </w:p>
    <w:p w:rsidR="00142253" w:rsidRDefault="00142253">
      <w:pPr>
        <w:jc w:val="both"/>
        <w:rPr>
          <w:b/>
          <w:sz w:val="24"/>
          <w:szCs w:val="24"/>
        </w:rPr>
      </w:pPr>
    </w:p>
    <w:p w:rsidR="00142253" w:rsidRDefault="00142253">
      <w:pPr>
        <w:jc w:val="both"/>
        <w:rPr>
          <w:b/>
          <w:sz w:val="24"/>
          <w:szCs w:val="24"/>
          <w:u w:val="single"/>
        </w:rPr>
      </w:pPr>
    </w:p>
    <w:p w:rsidR="00142253" w:rsidRDefault="00A35816">
      <w:pPr>
        <w:jc w:val="both"/>
        <w:rPr>
          <w:b/>
          <w:sz w:val="24"/>
          <w:szCs w:val="24"/>
          <w:u w:val="single"/>
        </w:rPr>
      </w:pPr>
      <w:r>
        <w:rPr>
          <w:b/>
          <w:sz w:val="24"/>
          <w:szCs w:val="24"/>
          <w:u w:val="single"/>
        </w:rPr>
        <w:t xml:space="preserve">MADDE 10. </w:t>
      </w:r>
      <w:r>
        <w:rPr>
          <w:b/>
          <w:sz w:val="24"/>
          <w:szCs w:val="24"/>
          <w:u w:val="single"/>
        </w:rPr>
        <w:t>BORSA DIŞINDAN FON PORTFÖYÜNE ALINACAK VARLIKLARA İLİŞKİN ESASLAR</w:t>
      </w:r>
    </w:p>
    <w:p w:rsidR="00142253" w:rsidRDefault="00142253">
      <w:pPr>
        <w:jc w:val="both"/>
        <w:rPr>
          <w:b/>
          <w:sz w:val="24"/>
          <w:szCs w:val="24"/>
          <w:u w:val="single"/>
        </w:rPr>
      </w:pPr>
    </w:p>
    <w:p w:rsidR="00142253" w:rsidRDefault="00A35816">
      <w:pPr>
        <w:jc w:val="both"/>
        <w:rPr>
          <w:b/>
          <w:sz w:val="24"/>
          <w:szCs w:val="24"/>
        </w:rPr>
      </w:pPr>
      <w:r>
        <w:rPr>
          <w:b/>
          <w:sz w:val="24"/>
          <w:szCs w:val="24"/>
        </w:rPr>
        <w:t>10.1.</w:t>
      </w:r>
      <w:r>
        <w:rPr>
          <w:b/>
          <w:sz w:val="24"/>
          <w:szCs w:val="24"/>
        </w:rPr>
        <w:tab/>
        <w:t>Varlık ve Sözleşmelere İlişkin Genel Bilgiler</w:t>
      </w:r>
    </w:p>
    <w:p w:rsidR="00142253" w:rsidRDefault="00142253">
      <w:pPr>
        <w:jc w:val="both"/>
        <w:rPr>
          <w:b/>
          <w:sz w:val="24"/>
          <w:szCs w:val="24"/>
        </w:rPr>
      </w:pPr>
    </w:p>
    <w:p w:rsidR="00142253" w:rsidRDefault="00A35816">
      <w:pPr>
        <w:numPr>
          <w:ilvl w:val="0"/>
          <w:numId w:val="18"/>
        </w:numPr>
        <w:tabs>
          <w:tab w:val="left" w:pos="812"/>
        </w:tabs>
        <w:jc w:val="both"/>
        <w:rPr>
          <w:sz w:val="24"/>
          <w:szCs w:val="24"/>
        </w:rPr>
      </w:pPr>
      <w:r>
        <w:rPr>
          <w:sz w:val="24"/>
          <w:szCs w:val="24"/>
        </w:rPr>
        <w:t>Fon portföyüne borsa dışından opsiyon sözleşmesi ve/veya ters repo sözleşmeleri dahil edilecektir. Borsa dışı opsiyon sözleşmesinin daya</w:t>
      </w:r>
      <w:r>
        <w:rPr>
          <w:sz w:val="24"/>
          <w:szCs w:val="24"/>
        </w:rPr>
        <w:t xml:space="preserve">nak varlığı İMKB – 30 Endeksi olacak, borsa dışı ters repo sözleşmelerine konu menkul kıymetler ise T.C. Hazinesi tarafından ihraç edilmiş Türk Lirası cinsi Devlet Tahvili ve/veya Hazine Bonosu olacaktır. </w:t>
      </w:r>
    </w:p>
    <w:p w:rsidR="00142253" w:rsidRDefault="00142253">
      <w:pPr>
        <w:shd w:val="clear" w:color="auto" w:fill="FFFFFF"/>
        <w:tabs>
          <w:tab w:val="left" w:pos="1157"/>
        </w:tabs>
        <w:spacing w:line="206" w:lineRule="exact"/>
        <w:ind w:left="437" w:right="384" w:firstLine="562"/>
        <w:jc w:val="both"/>
        <w:rPr>
          <w:spacing w:val="1"/>
          <w:sz w:val="24"/>
          <w:szCs w:val="24"/>
        </w:rPr>
      </w:pPr>
    </w:p>
    <w:p w:rsidR="00142253" w:rsidRDefault="00A35816">
      <w:pPr>
        <w:numPr>
          <w:ilvl w:val="0"/>
          <w:numId w:val="18"/>
        </w:numPr>
        <w:tabs>
          <w:tab w:val="left" w:pos="812"/>
        </w:tabs>
        <w:jc w:val="both"/>
        <w:rPr>
          <w:sz w:val="24"/>
          <w:szCs w:val="24"/>
        </w:rPr>
      </w:pPr>
      <w:r>
        <w:rPr>
          <w:sz w:val="24"/>
          <w:szCs w:val="24"/>
        </w:rPr>
        <w:t>Borsa dışı sözleşmeler fonun yatırım amacına uygu</w:t>
      </w:r>
      <w:r>
        <w:rPr>
          <w:sz w:val="24"/>
          <w:szCs w:val="24"/>
        </w:rPr>
        <w:t xml:space="preserve">n olacaktır. </w:t>
      </w:r>
    </w:p>
    <w:p w:rsidR="00142253" w:rsidRDefault="00142253">
      <w:pPr>
        <w:tabs>
          <w:tab w:val="left" w:pos="812"/>
        </w:tabs>
        <w:ind w:left="360"/>
        <w:jc w:val="both"/>
        <w:rPr>
          <w:sz w:val="24"/>
          <w:szCs w:val="24"/>
        </w:rPr>
      </w:pPr>
    </w:p>
    <w:p w:rsidR="00142253" w:rsidRDefault="00A35816">
      <w:pPr>
        <w:numPr>
          <w:ilvl w:val="0"/>
          <w:numId w:val="18"/>
        </w:numPr>
        <w:tabs>
          <w:tab w:val="left" w:pos="812"/>
        </w:tabs>
        <w:jc w:val="both"/>
        <w:rPr>
          <w:sz w:val="24"/>
          <w:szCs w:val="24"/>
        </w:rPr>
      </w:pPr>
      <w:r>
        <w:rPr>
          <w:sz w:val="24"/>
          <w:szCs w:val="24"/>
        </w:rPr>
        <w:t>Borsa dışı sözleşmelere, sözleşmenin lehdarının fon olduğuna, dolayısıyla sözleşmeden doğan her türlü haktan fonun yararlanacağına dair açık bir hüküm eklenmesi zorunludur.</w:t>
      </w:r>
    </w:p>
    <w:p w:rsidR="00142253" w:rsidRDefault="00142253">
      <w:pPr>
        <w:tabs>
          <w:tab w:val="left" w:pos="812"/>
        </w:tabs>
        <w:ind w:left="360"/>
        <w:jc w:val="both"/>
        <w:rPr>
          <w:spacing w:val="1"/>
          <w:sz w:val="24"/>
          <w:szCs w:val="24"/>
        </w:rPr>
      </w:pPr>
    </w:p>
    <w:p w:rsidR="00142253" w:rsidRDefault="00A35816">
      <w:pPr>
        <w:numPr>
          <w:ilvl w:val="0"/>
          <w:numId w:val="18"/>
        </w:numPr>
        <w:tabs>
          <w:tab w:val="left" w:pos="812"/>
        </w:tabs>
        <w:jc w:val="both"/>
        <w:rPr>
          <w:sz w:val="24"/>
          <w:szCs w:val="24"/>
        </w:rPr>
      </w:pPr>
      <w:r>
        <w:rPr>
          <w:spacing w:val="1"/>
          <w:sz w:val="24"/>
          <w:szCs w:val="24"/>
        </w:rPr>
        <w:t xml:space="preserve">Koruma </w:t>
      </w:r>
      <w:r>
        <w:rPr>
          <w:sz w:val="24"/>
          <w:szCs w:val="24"/>
        </w:rPr>
        <w:t>amaçlı yatırım fonlarının borsa dışında taraf olacağı sözleş</w:t>
      </w:r>
      <w:r>
        <w:rPr>
          <w:sz w:val="24"/>
          <w:szCs w:val="24"/>
        </w:rPr>
        <w:t xml:space="preserve">melerin karşı taraflarının, yatırım yapılabilir seviyeye denk gelen derecelendirme notuna sahip olması gereklidir. Bu kapsamda; </w:t>
      </w:r>
    </w:p>
    <w:p w:rsidR="00142253" w:rsidRDefault="00A35816">
      <w:pPr>
        <w:pStyle w:val="List2"/>
        <w:ind w:firstLine="720"/>
        <w:jc w:val="both"/>
        <w:rPr>
          <w:sz w:val="24"/>
          <w:szCs w:val="24"/>
        </w:rPr>
      </w:pPr>
      <w:r>
        <w:rPr>
          <w:spacing w:val="-11"/>
          <w:sz w:val="24"/>
          <w:szCs w:val="24"/>
        </w:rPr>
        <w:t>1-</w:t>
      </w:r>
      <w:r>
        <w:rPr>
          <w:spacing w:val="4"/>
          <w:sz w:val="24"/>
          <w:szCs w:val="24"/>
        </w:rPr>
        <w:t xml:space="preserve">Türkiye’de yerleşik mali kuruluşların ulusal notlarının, </w:t>
      </w:r>
      <w:r>
        <w:rPr>
          <w:sz w:val="24"/>
          <w:szCs w:val="24"/>
        </w:rPr>
        <w:t>görünümü (Outlook) en az durağan olmak kaydıyla asgari olarak yatırı</w:t>
      </w:r>
      <w:r>
        <w:rPr>
          <w:sz w:val="24"/>
          <w:szCs w:val="24"/>
        </w:rPr>
        <w:t>m yapılabilir seviyede olması gereklidir.</w:t>
      </w:r>
    </w:p>
    <w:p w:rsidR="00142253" w:rsidRDefault="00A35816">
      <w:pPr>
        <w:pStyle w:val="List2"/>
        <w:ind w:firstLine="720"/>
        <w:jc w:val="both"/>
        <w:rPr>
          <w:sz w:val="24"/>
          <w:szCs w:val="24"/>
        </w:rPr>
      </w:pPr>
      <w:r>
        <w:rPr>
          <w:sz w:val="24"/>
          <w:szCs w:val="24"/>
        </w:rPr>
        <w:t>2-Yurt dışında yerleşik kuruluşlar için ise, görünümü (Outlook) en az durağan olmak kaydıyla Standard&amp;Poors, Moody’s ve Fitch tarafından verilen ihraççı notlarının (issuer rating), ülkemizde kurulu derecelendirme k</w:t>
      </w:r>
      <w:r>
        <w:rPr>
          <w:sz w:val="24"/>
          <w:szCs w:val="24"/>
        </w:rPr>
        <w:t xml:space="preserve">uruluşlarının ise buna denk notlarının asgari olarak yatırım yapılabilir seviyede olması zorunludur. </w:t>
      </w:r>
    </w:p>
    <w:p w:rsidR="00142253" w:rsidRDefault="00142253">
      <w:pPr>
        <w:tabs>
          <w:tab w:val="left" w:pos="812"/>
        </w:tabs>
        <w:ind w:left="360"/>
        <w:jc w:val="both"/>
        <w:rPr>
          <w:sz w:val="24"/>
          <w:szCs w:val="24"/>
        </w:rPr>
      </w:pPr>
    </w:p>
    <w:p w:rsidR="00142253" w:rsidRDefault="00A35816">
      <w:pPr>
        <w:numPr>
          <w:ilvl w:val="0"/>
          <w:numId w:val="18"/>
        </w:numPr>
        <w:tabs>
          <w:tab w:val="left" w:pos="812"/>
        </w:tabs>
        <w:jc w:val="both"/>
        <w:rPr>
          <w:sz w:val="24"/>
          <w:szCs w:val="24"/>
        </w:rPr>
      </w:pPr>
      <w:r>
        <w:rPr>
          <w:sz w:val="24"/>
          <w:szCs w:val="24"/>
        </w:rPr>
        <w:t>Sözleşmelerin herhangi bir ilişkiden etkilenmeyecek şekilde objektif koşullarda yapılması, adil bir fiyat içermesi ve fon fiyatının açıklandığı dönemlerd</w:t>
      </w:r>
      <w:r>
        <w:rPr>
          <w:sz w:val="24"/>
          <w:szCs w:val="24"/>
        </w:rPr>
        <w:t xml:space="preserve">e makul değeri üzerinden nakde dönüştürülebilir olması gerekmektedir. </w:t>
      </w:r>
    </w:p>
    <w:p w:rsidR="00142253" w:rsidRDefault="00142253">
      <w:pPr>
        <w:tabs>
          <w:tab w:val="left" w:pos="812"/>
        </w:tabs>
        <w:jc w:val="both"/>
        <w:rPr>
          <w:sz w:val="24"/>
          <w:szCs w:val="24"/>
        </w:rPr>
      </w:pPr>
    </w:p>
    <w:p w:rsidR="00142253" w:rsidRDefault="00A35816">
      <w:pPr>
        <w:numPr>
          <w:ilvl w:val="0"/>
          <w:numId w:val="18"/>
        </w:numPr>
        <w:tabs>
          <w:tab w:val="left" w:pos="812"/>
        </w:tabs>
        <w:jc w:val="both"/>
        <w:rPr>
          <w:sz w:val="24"/>
          <w:szCs w:val="24"/>
        </w:rPr>
      </w:pPr>
      <w:r>
        <w:rPr>
          <w:sz w:val="24"/>
          <w:szCs w:val="24"/>
        </w:rPr>
        <w:t>Borsa dışında taraf olunacak opsiyon sözleşmeleri, International Swaps and Derivatives Association (ISDA) kural ve uygulamalarına tabi olacaktır.</w:t>
      </w:r>
    </w:p>
    <w:p w:rsidR="00142253" w:rsidRDefault="00142253">
      <w:pPr>
        <w:jc w:val="both"/>
        <w:rPr>
          <w:sz w:val="24"/>
          <w:szCs w:val="24"/>
        </w:rPr>
      </w:pPr>
    </w:p>
    <w:p w:rsidR="00142253" w:rsidRDefault="00A35816">
      <w:pPr>
        <w:jc w:val="both"/>
        <w:rPr>
          <w:b/>
          <w:sz w:val="24"/>
          <w:szCs w:val="24"/>
        </w:rPr>
      </w:pPr>
      <w:r>
        <w:rPr>
          <w:b/>
          <w:sz w:val="24"/>
          <w:szCs w:val="24"/>
        </w:rPr>
        <w:t>10.2.</w:t>
      </w:r>
      <w:r>
        <w:rPr>
          <w:b/>
          <w:sz w:val="24"/>
          <w:szCs w:val="24"/>
        </w:rPr>
        <w:tab/>
        <w:t xml:space="preserve"> Borsa Dışında Taraf Olunacak S</w:t>
      </w:r>
      <w:r>
        <w:rPr>
          <w:b/>
          <w:sz w:val="24"/>
          <w:szCs w:val="24"/>
        </w:rPr>
        <w:t>özleşmelerinin Herhangi Bir İlişkiden Etkilenmeyecek Şekilde Objektif Koşullarda Yapılmasının ve Adil Bir Fiyat İçermesinin Sağlanması İçin Uygulanacak İlke ve Yöntemler</w:t>
      </w:r>
    </w:p>
    <w:p w:rsidR="00142253" w:rsidRDefault="00142253">
      <w:pPr>
        <w:jc w:val="both"/>
        <w:rPr>
          <w:b/>
          <w:sz w:val="24"/>
          <w:szCs w:val="24"/>
        </w:rPr>
      </w:pPr>
    </w:p>
    <w:p w:rsidR="00142253" w:rsidRDefault="00A35816">
      <w:pPr>
        <w:autoSpaceDE w:val="0"/>
        <w:autoSpaceDN w:val="0"/>
        <w:adjustRightInd w:val="0"/>
        <w:jc w:val="both"/>
        <w:rPr>
          <w:sz w:val="24"/>
          <w:szCs w:val="24"/>
        </w:rPr>
      </w:pPr>
      <w:r>
        <w:rPr>
          <w:sz w:val="24"/>
          <w:szCs w:val="24"/>
        </w:rPr>
        <w:t>Fon portföyü oluşturulurken borsa dışı opsiyon sözleşmesi alımı esnasında yukarıdaki koşulu sağlayan en az 3 kurumdan teklif alınır ve bu tekliflere ilişkin gerekli belgelerin asılları  Yönetici nezdinde saklanır. Sözleşmenin karşı tarafı olarak, yapılan o</w:t>
      </w:r>
      <w:r>
        <w:rPr>
          <w:sz w:val="24"/>
          <w:szCs w:val="24"/>
        </w:rPr>
        <w:t>psiyon sözleşmesini etkileyebilecek her gelişmede yeni koşullara kolay, anında ve doğru olarak uyum sağlayan, yatırımcılardan fonun yatırım dönemi içinde çok ciddi bir çıkış talebi geldiğinde, gecikmeden ve sorun yaşanmadan işlemlerin doğru, hızlı ve sorun</w:t>
      </w:r>
      <w:r>
        <w:rPr>
          <w:sz w:val="24"/>
          <w:szCs w:val="24"/>
        </w:rPr>
        <w:t>suz yapılması gibi faktörleri en iyi şekilde gerçekleştirebilen ve en iyi fiyat ve iştirak oranlarını veren kurum, karşı taraf olarak tercih edilecektir. Alınan teklifler 10.1 maddesinde belirlenen özellikler ile karşı tarafla iletişim, çalışma kolaylığı g</w:t>
      </w:r>
      <w:r>
        <w:rPr>
          <w:sz w:val="24"/>
          <w:szCs w:val="24"/>
        </w:rPr>
        <w:t xml:space="preserve">ibi hususlar da göz önüne alınarak portföy yöneticisi tarafından değerlendirilir ve işlem gerçekleştirilir. Fon Kurulunun talep etmesi durumunda istenen tüm bilgi ve belgeler fon kuruluna sunulur. </w:t>
      </w:r>
    </w:p>
    <w:p w:rsidR="00142253" w:rsidRDefault="00142253">
      <w:pPr>
        <w:jc w:val="both"/>
        <w:rPr>
          <w:b/>
          <w:sz w:val="24"/>
          <w:szCs w:val="24"/>
          <w:u w:val="single"/>
        </w:rPr>
      </w:pPr>
    </w:p>
    <w:p w:rsidR="00142253" w:rsidRDefault="00A35816">
      <w:pPr>
        <w:jc w:val="both"/>
        <w:rPr>
          <w:b/>
          <w:sz w:val="24"/>
          <w:szCs w:val="24"/>
          <w:u w:val="single"/>
        </w:rPr>
      </w:pPr>
      <w:r>
        <w:rPr>
          <w:b/>
          <w:sz w:val="24"/>
          <w:szCs w:val="24"/>
          <w:u w:val="single"/>
        </w:rPr>
        <w:t>MADDE 11 -</w:t>
      </w:r>
      <w:r>
        <w:rPr>
          <w:b/>
          <w:sz w:val="24"/>
          <w:szCs w:val="24"/>
          <w:u w:val="single"/>
        </w:rPr>
        <w:tab/>
        <w:t xml:space="preserve">KATILMA PAYLARININ SATIŞ VE GERİ SATIN ALINIŞ </w:t>
      </w:r>
      <w:r>
        <w:rPr>
          <w:b/>
          <w:sz w:val="24"/>
          <w:szCs w:val="24"/>
          <w:u w:val="single"/>
        </w:rPr>
        <w:t>FİYATLARININ TESBİTİ USULÜ VE PORTFÖY DEĞERİNİN BELİRLENMESİ ESASLARI:</w:t>
      </w:r>
    </w:p>
    <w:p w:rsidR="00142253" w:rsidRDefault="00142253">
      <w:pPr>
        <w:jc w:val="both"/>
        <w:rPr>
          <w:b/>
          <w:sz w:val="24"/>
          <w:szCs w:val="24"/>
          <w:u w:val="single"/>
        </w:rPr>
      </w:pPr>
    </w:p>
    <w:p w:rsidR="00142253" w:rsidRDefault="00A35816">
      <w:pPr>
        <w:jc w:val="both"/>
        <w:rPr>
          <w:sz w:val="24"/>
          <w:szCs w:val="24"/>
        </w:rPr>
      </w:pPr>
      <w:r>
        <w:rPr>
          <w:b/>
          <w:sz w:val="24"/>
          <w:szCs w:val="24"/>
        </w:rPr>
        <w:t xml:space="preserve">11.1. </w:t>
      </w:r>
      <w:r>
        <w:rPr>
          <w:sz w:val="24"/>
          <w:szCs w:val="24"/>
        </w:rPr>
        <w:t xml:space="preserve">Değerleme yatırım dönemi sonuna kadar olan sürede her ayın 1. günü ve 15. günü (tatil günleri olması halinde takip eden işgünü) </w:t>
      </w:r>
      <w:r>
        <w:rPr>
          <w:sz w:val="24"/>
          <w:szCs w:val="24"/>
        </w:rPr>
        <w:t xml:space="preserve">olmak üzere ayda 2 kere yapılacak ve fon fiyatı aynı günlerde ilan edilecektir. Fonun yatırım dönemi sonunda bu günlere bağlı olmaksızın değerleme yapılacak ve fiyat ilan edilecektir. </w:t>
      </w:r>
    </w:p>
    <w:p w:rsidR="00142253" w:rsidRDefault="00142253">
      <w:pPr>
        <w:jc w:val="both"/>
        <w:rPr>
          <w:sz w:val="24"/>
          <w:szCs w:val="24"/>
        </w:rPr>
      </w:pPr>
    </w:p>
    <w:p w:rsidR="00142253" w:rsidRDefault="00A35816">
      <w:pPr>
        <w:jc w:val="both"/>
        <w:rPr>
          <w:sz w:val="24"/>
          <w:szCs w:val="24"/>
        </w:rPr>
      </w:pPr>
      <w:r>
        <w:rPr>
          <w:b/>
          <w:sz w:val="24"/>
          <w:szCs w:val="24"/>
        </w:rPr>
        <w:t xml:space="preserve">11.2. </w:t>
      </w:r>
      <w:r>
        <w:rPr>
          <w:sz w:val="24"/>
          <w:szCs w:val="24"/>
        </w:rPr>
        <w:t>“Fon Portföy Değeri”, portföydeki varlıkların değerlerinin topla</w:t>
      </w:r>
      <w:r>
        <w:rPr>
          <w:sz w:val="24"/>
          <w:szCs w:val="24"/>
        </w:rPr>
        <w:t>mıdır.</w:t>
      </w:r>
    </w:p>
    <w:p w:rsidR="00142253" w:rsidRDefault="00142253">
      <w:pPr>
        <w:jc w:val="both"/>
        <w:rPr>
          <w:sz w:val="24"/>
          <w:szCs w:val="24"/>
        </w:rPr>
      </w:pPr>
    </w:p>
    <w:p w:rsidR="00142253" w:rsidRDefault="00A35816">
      <w:pPr>
        <w:jc w:val="both"/>
        <w:rPr>
          <w:sz w:val="24"/>
          <w:szCs w:val="24"/>
        </w:rPr>
      </w:pPr>
      <w:r>
        <w:rPr>
          <w:b/>
          <w:sz w:val="24"/>
          <w:szCs w:val="24"/>
        </w:rPr>
        <w:t xml:space="preserve">11.3. </w:t>
      </w:r>
      <w:r>
        <w:rPr>
          <w:sz w:val="24"/>
          <w:szCs w:val="24"/>
        </w:rPr>
        <w:t>Portföydeki varlıkların değeri aşağıdaki esaslara göre tespit edilir.</w:t>
      </w:r>
    </w:p>
    <w:p w:rsidR="00142253" w:rsidRDefault="00142253">
      <w:pPr>
        <w:jc w:val="both"/>
        <w:rPr>
          <w:b/>
          <w:sz w:val="24"/>
          <w:szCs w:val="24"/>
        </w:rPr>
      </w:pPr>
    </w:p>
    <w:p w:rsidR="00142253" w:rsidRDefault="00A35816">
      <w:pPr>
        <w:jc w:val="both"/>
        <w:rPr>
          <w:sz w:val="24"/>
          <w:szCs w:val="24"/>
        </w:rPr>
      </w:pPr>
      <w:r>
        <w:rPr>
          <w:b/>
          <w:sz w:val="24"/>
          <w:szCs w:val="24"/>
        </w:rPr>
        <w:t>11.3.1.</w:t>
      </w:r>
      <w:r>
        <w:rPr>
          <w:sz w:val="24"/>
          <w:szCs w:val="24"/>
        </w:rPr>
        <w:t xml:space="preserve">  Portföye alınan varlıklar alım fiyatları ile kayda geçirilir. Yabancı para cinsinden varlıkların alım fiyatı satın alma günündeki yabancı para cinsinden değerinin</w:t>
      </w:r>
      <w:r>
        <w:rPr>
          <w:sz w:val="24"/>
          <w:szCs w:val="24"/>
        </w:rPr>
        <w:t xml:space="preserve"> T.C. Merkez Bankası döviz satış kuru ile çarpılması suretiyle bulunur. Eğer yabancı ürünlerin fiyatlaması YTL cinsinden yapılıyorsa, yukarıdaki hesaplamaya gerek yoktur.</w:t>
      </w:r>
    </w:p>
    <w:p w:rsidR="00142253" w:rsidRDefault="00142253">
      <w:pPr>
        <w:jc w:val="both"/>
        <w:rPr>
          <w:sz w:val="24"/>
          <w:szCs w:val="24"/>
        </w:rPr>
      </w:pPr>
    </w:p>
    <w:p w:rsidR="00142253" w:rsidRDefault="00A35816">
      <w:pPr>
        <w:jc w:val="both"/>
        <w:rPr>
          <w:sz w:val="24"/>
          <w:szCs w:val="24"/>
        </w:rPr>
      </w:pPr>
      <w:r>
        <w:rPr>
          <w:b/>
          <w:sz w:val="24"/>
          <w:szCs w:val="24"/>
        </w:rPr>
        <w:t>11.3.2.</w:t>
      </w:r>
      <w:r>
        <w:rPr>
          <w:sz w:val="24"/>
          <w:szCs w:val="24"/>
        </w:rPr>
        <w:t xml:space="preserve"> Borsada işlem gören varlıklar değerleme gününde borsada oluşan ağırlıklı fiy</w:t>
      </w:r>
      <w:r>
        <w:rPr>
          <w:sz w:val="24"/>
          <w:szCs w:val="24"/>
        </w:rPr>
        <w:t>at ve oranlarla değerlenir. İki seans uygulayan borsalarda değerleme fiyatı ikinci seans ağırlıklı fiyatı ve oranıdır.</w:t>
      </w:r>
    </w:p>
    <w:p w:rsidR="00142253" w:rsidRDefault="00A35816">
      <w:pPr>
        <w:jc w:val="both"/>
        <w:rPr>
          <w:sz w:val="24"/>
          <w:szCs w:val="24"/>
        </w:rPr>
      </w:pPr>
      <w:r>
        <w:rPr>
          <w:sz w:val="24"/>
          <w:szCs w:val="24"/>
        </w:rPr>
        <w:t xml:space="preserve"> </w:t>
      </w:r>
    </w:p>
    <w:p w:rsidR="00142253" w:rsidRDefault="00A35816">
      <w:pPr>
        <w:jc w:val="both"/>
        <w:rPr>
          <w:sz w:val="24"/>
          <w:szCs w:val="24"/>
        </w:rPr>
      </w:pPr>
      <w:r>
        <w:rPr>
          <w:b/>
          <w:sz w:val="24"/>
          <w:szCs w:val="24"/>
        </w:rPr>
        <w:t>11.3.3.</w:t>
      </w:r>
      <w:r>
        <w:rPr>
          <w:sz w:val="24"/>
          <w:szCs w:val="24"/>
        </w:rPr>
        <w:t xml:space="preserve"> İMKB küçük işlemler pazarında oluşan fiyatlar değerlemede dikkate alınmaz.</w:t>
      </w:r>
    </w:p>
    <w:p w:rsidR="00142253" w:rsidRDefault="00142253">
      <w:pPr>
        <w:jc w:val="both"/>
        <w:rPr>
          <w:sz w:val="24"/>
          <w:szCs w:val="24"/>
        </w:rPr>
      </w:pPr>
    </w:p>
    <w:p w:rsidR="00142253" w:rsidRDefault="00A35816">
      <w:pPr>
        <w:jc w:val="both"/>
        <w:rPr>
          <w:sz w:val="24"/>
          <w:szCs w:val="24"/>
        </w:rPr>
      </w:pPr>
      <w:r>
        <w:rPr>
          <w:b/>
          <w:sz w:val="24"/>
          <w:szCs w:val="24"/>
        </w:rPr>
        <w:t>11.3.4.</w:t>
      </w:r>
      <w:r>
        <w:rPr>
          <w:sz w:val="24"/>
          <w:szCs w:val="24"/>
        </w:rPr>
        <w:t xml:space="preserve"> Borsada işlem görmekle birlikte değerleme g</w:t>
      </w:r>
      <w:r>
        <w:rPr>
          <w:sz w:val="24"/>
          <w:szCs w:val="24"/>
        </w:rPr>
        <w:t>ününde borsada alım satıma konu olmayan paylar son işlem tarihindeki borsa fiyatıyla, borçlanma senetleri, ters repo ve repolar son işlem günündeki iç verim oranı (günlük nakit girişlerini nakit çıkışlarına eşitleyen iskonto oranı) ile değerlenir.</w:t>
      </w:r>
      <w:r>
        <w:rPr>
          <w:rStyle w:val="FootnoteReference"/>
          <w:sz w:val="24"/>
          <w:szCs w:val="24"/>
        </w:rPr>
        <w:t xml:space="preserve"> </w:t>
      </w:r>
    </w:p>
    <w:p w:rsidR="00142253" w:rsidRDefault="00142253">
      <w:pPr>
        <w:jc w:val="both"/>
        <w:rPr>
          <w:sz w:val="24"/>
          <w:szCs w:val="24"/>
        </w:rPr>
      </w:pPr>
    </w:p>
    <w:p w:rsidR="00142253" w:rsidRDefault="00A35816">
      <w:pPr>
        <w:pStyle w:val="BodyText"/>
        <w:rPr>
          <w:szCs w:val="24"/>
        </w:rPr>
      </w:pPr>
      <w:r>
        <w:rPr>
          <w:b/>
          <w:szCs w:val="24"/>
        </w:rPr>
        <w:t>11.3.5</w:t>
      </w:r>
      <w:r>
        <w:rPr>
          <w:b/>
          <w:szCs w:val="24"/>
        </w:rPr>
        <w:t>.</w:t>
      </w:r>
      <w:r>
        <w:rPr>
          <w:szCs w:val="24"/>
        </w:rPr>
        <w:t xml:space="preserve"> Yukarıdaki şekilde değeri belirlenemeyen varlıklar ise, piyasa fiyatını en iyi yansıtacak şekilde fon kurulu tarafından belirlenecek esaslar çerçevesinde değerlenir. Değerleme ilkelerine ilişkin ayrıntılı bilgilere fon izahnamesinde yer verilecektir.</w:t>
      </w:r>
    </w:p>
    <w:p w:rsidR="00142253" w:rsidRDefault="00142253">
      <w:pPr>
        <w:jc w:val="both"/>
        <w:rPr>
          <w:sz w:val="24"/>
          <w:szCs w:val="24"/>
        </w:rPr>
      </w:pPr>
    </w:p>
    <w:p w:rsidR="00142253" w:rsidRDefault="00A35816">
      <w:pPr>
        <w:jc w:val="both"/>
        <w:rPr>
          <w:sz w:val="24"/>
          <w:szCs w:val="24"/>
        </w:rPr>
      </w:pPr>
      <w:r>
        <w:rPr>
          <w:b/>
          <w:sz w:val="24"/>
          <w:szCs w:val="24"/>
        </w:rPr>
        <w:t>11</w:t>
      </w:r>
      <w:r>
        <w:rPr>
          <w:b/>
          <w:sz w:val="24"/>
          <w:szCs w:val="24"/>
        </w:rPr>
        <w:t>.3.6.</w:t>
      </w:r>
      <w:r>
        <w:rPr>
          <w:sz w:val="24"/>
          <w:szCs w:val="24"/>
        </w:rPr>
        <w:t xml:space="preserve"> Portföydeki yabancı para birimi üzerinden çıkarılan menkul kıymetler satın alındıkları borsada değerleme günü itibariyle oluşan fiyatlarının ilgili oldukları yabancı paranın T.C. Merkez Bankası döviz satış kuru ile çarpılması suretiyle değerlenir. </w:t>
      </w:r>
    </w:p>
    <w:p w:rsidR="00142253" w:rsidRDefault="00142253">
      <w:pPr>
        <w:jc w:val="both"/>
        <w:rPr>
          <w:sz w:val="24"/>
          <w:szCs w:val="24"/>
        </w:rPr>
      </w:pPr>
    </w:p>
    <w:p w:rsidR="00142253" w:rsidRDefault="00A35816">
      <w:pPr>
        <w:pStyle w:val="BodyText"/>
        <w:rPr>
          <w:szCs w:val="24"/>
        </w:rPr>
      </w:pPr>
      <w:r>
        <w:rPr>
          <w:b/>
          <w:szCs w:val="24"/>
        </w:rPr>
        <w:t>11.3.7.</w:t>
      </w:r>
      <w:r>
        <w:rPr>
          <w:szCs w:val="24"/>
        </w:rPr>
        <w:t xml:space="preserve"> Gelir ortaklığı senetleri ile dövize endeksli gelir ortaklığı senetleri ve dövize endeksli tahvillerin değerlemesi Tebliğ’in 45. md. çerçevesinde yapılır.</w:t>
      </w:r>
    </w:p>
    <w:p w:rsidR="00142253" w:rsidRDefault="00142253">
      <w:pPr>
        <w:pStyle w:val="BodyText"/>
        <w:rPr>
          <w:szCs w:val="24"/>
        </w:rPr>
      </w:pPr>
    </w:p>
    <w:p w:rsidR="00142253" w:rsidRDefault="00A35816">
      <w:pPr>
        <w:pStyle w:val="BodyText"/>
        <w:rPr>
          <w:szCs w:val="24"/>
        </w:rPr>
      </w:pPr>
      <w:r>
        <w:rPr>
          <w:b/>
          <w:szCs w:val="24"/>
        </w:rPr>
        <w:t>11.3.8.</w:t>
      </w:r>
      <w:r>
        <w:rPr>
          <w:szCs w:val="24"/>
        </w:rPr>
        <w:t xml:space="preserve"> Portföye borsa dışından alınan yurtiçi ve yurtdışı opsiyon sözleşmelerinin değerleri</w:t>
      </w:r>
      <w:r>
        <w:rPr>
          <w:szCs w:val="24"/>
        </w:rPr>
        <w:t>, sözleşmelerin satın alındığı kurumla görüşülerek fonun fiyat açıklama tarihlerinde (her ayın 1. ve 15. günü) olmak üzere ayda 2 kere hesaplanacaktır. Söz konusu türev araçların değerlemesinde Kurul düzenlemelerinde öngörülen kriterlere uyulur. Değerlemen</w:t>
      </w:r>
      <w:r>
        <w:rPr>
          <w:szCs w:val="24"/>
        </w:rPr>
        <w:t xml:space="preserve">in doğrulaması Kurulun ilgili düzenlemeleri çerçevesinde Yönetici nezdindeki Risk Yönetim ve Takip Birimi tarafından yapılacaktır. </w:t>
      </w:r>
    </w:p>
    <w:p w:rsidR="00142253" w:rsidRDefault="00142253">
      <w:pPr>
        <w:pStyle w:val="BodyText"/>
        <w:rPr>
          <w:szCs w:val="24"/>
        </w:rPr>
      </w:pPr>
    </w:p>
    <w:p w:rsidR="00142253" w:rsidRDefault="00A35816">
      <w:pPr>
        <w:jc w:val="both"/>
        <w:rPr>
          <w:sz w:val="24"/>
          <w:szCs w:val="24"/>
        </w:rPr>
      </w:pPr>
      <w:r>
        <w:rPr>
          <w:b/>
          <w:sz w:val="24"/>
          <w:szCs w:val="24"/>
        </w:rPr>
        <w:t xml:space="preserve">11.4. </w:t>
      </w:r>
      <w:r>
        <w:rPr>
          <w:sz w:val="24"/>
          <w:szCs w:val="24"/>
        </w:rPr>
        <w:t>“Fon Toplam Değeri”, Fon portföy değerine varsa diğer varlıkların ve alacakların eklenmesi ve, borçların (Kurucu tara</w:t>
      </w:r>
      <w:r>
        <w:rPr>
          <w:sz w:val="24"/>
          <w:szCs w:val="24"/>
        </w:rPr>
        <w:t>fından kuruluş işlemleri için verilen avans hariç) düşülmesi suretiyle bulunur.</w:t>
      </w:r>
    </w:p>
    <w:p w:rsidR="00142253" w:rsidRDefault="00142253">
      <w:pPr>
        <w:jc w:val="both"/>
        <w:rPr>
          <w:sz w:val="24"/>
          <w:szCs w:val="24"/>
        </w:rPr>
      </w:pPr>
    </w:p>
    <w:p w:rsidR="00142253" w:rsidRDefault="00A35816">
      <w:pPr>
        <w:jc w:val="both"/>
        <w:rPr>
          <w:sz w:val="24"/>
          <w:szCs w:val="24"/>
        </w:rPr>
      </w:pPr>
      <w:r>
        <w:rPr>
          <w:b/>
          <w:sz w:val="24"/>
          <w:szCs w:val="24"/>
        </w:rPr>
        <w:t xml:space="preserve">11.5. </w:t>
      </w:r>
      <w:r>
        <w:rPr>
          <w:sz w:val="24"/>
          <w:szCs w:val="24"/>
        </w:rPr>
        <w:t xml:space="preserve">Fon’un devamı süresince alınan bedelsiz hisse senetleri, temettü, faiz ve kar payları v.b. alındıkları gün Fon portföyüne dahil edilir, bu ödemeler takip eden ilk Net </w:t>
      </w:r>
      <w:r>
        <w:rPr>
          <w:sz w:val="24"/>
          <w:szCs w:val="24"/>
        </w:rPr>
        <w:t>Aktif Değeri hesaplamasında dikkate alınır;</w:t>
      </w:r>
    </w:p>
    <w:p w:rsidR="00142253" w:rsidRDefault="00142253">
      <w:pPr>
        <w:pStyle w:val="List2"/>
        <w:ind w:left="0" w:firstLine="0"/>
        <w:jc w:val="both"/>
        <w:rPr>
          <w:b/>
          <w:sz w:val="24"/>
          <w:szCs w:val="24"/>
        </w:rPr>
      </w:pPr>
    </w:p>
    <w:p w:rsidR="00142253" w:rsidRDefault="00A35816">
      <w:pPr>
        <w:spacing w:line="273" w:lineRule="exact"/>
        <w:jc w:val="both"/>
        <w:rPr>
          <w:sz w:val="24"/>
          <w:szCs w:val="24"/>
        </w:rPr>
      </w:pPr>
      <w:r>
        <w:rPr>
          <w:b/>
          <w:sz w:val="24"/>
          <w:szCs w:val="24"/>
        </w:rPr>
        <w:t xml:space="preserve">11.6. </w:t>
      </w:r>
      <w:r>
        <w:rPr>
          <w:sz w:val="24"/>
          <w:szCs w:val="24"/>
        </w:rPr>
        <w:t>“Bir payın değeri”, fon toplam değerinin tedavüldeki katılma paylarının kapsadığı pay sayısına bölünmesiyle elde edilir. İhraç edilen katılma paylarının tümü satılıncaya kadar, her payın değeri, Fon toplam</w:t>
      </w:r>
      <w:r>
        <w:rPr>
          <w:sz w:val="24"/>
          <w:szCs w:val="24"/>
        </w:rPr>
        <w:t xml:space="preserve"> değerinin tedavüldeki pay sayısına bölünmesi ile bulunur.  Bu dönem içinde geri satın alma yoluyla fona geri dönmüş katılma paylarından halen fon bünyesinde bulunanların sayısı toplam pay sayısından düşülür.</w:t>
      </w:r>
      <w:r>
        <w:rPr>
          <w:b/>
          <w:sz w:val="24"/>
          <w:szCs w:val="24"/>
        </w:rPr>
        <w:t xml:space="preserve"> </w:t>
      </w:r>
      <w:r>
        <w:rPr>
          <w:sz w:val="24"/>
          <w:szCs w:val="24"/>
        </w:rPr>
        <w:t>Katılma paylarının satış ve geri alış fıyatı, b</w:t>
      </w:r>
      <w:r>
        <w:rPr>
          <w:sz w:val="24"/>
          <w:szCs w:val="24"/>
        </w:rPr>
        <w:t>elgedeki pay sayısı ile pay değerinin çarpımı suretiyle bulunan tutardır.</w:t>
      </w:r>
    </w:p>
    <w:p w:rsidR="00142253" w:rsidRDefault="00142253">
      <w:pPr>
        <w:jc w:val="both"/>
        <w:rPr>
          <w:sz w:val="24"/>
          <w:szCs w:val="24"/>
        </w:rPr>
      </w:pPr>
    </w:p>
    <w:p w:rsidR="00142253" w:rsidRDefault="00142253">
      <w:pPr>
        <w:jc w:val="both"/>
        <w:rPr>
          <w:sz w:val="24"/>
          <w:szCs w:val="24"/>
        </w:rPr>
      </w:pPr>
    </w:p>
    <w:p w:rsidR="00142253" w:rsidRDefault="00A35816">
      <w:pPr>
        <w:jc w:val="both"/>
        <w:rPr>
          <w:sz w:val="24"/>
          <w:szCs w:val="24"/>
        </w:rPr>
      </w:pPr>
      <w:r>
        <w:rPr>
          <w:b/>
          <w:sz w:val="24"/>
          <w:szCs w:val="24"/>
        </w:rPr>
        <w:t xml:space="preserve">11.7. </w:t>
      </w:r>
      <w:r>
        <w:rPr>
          <w:sz w:val="24"/>
          <w:szCs w:val="24"/>
        </w:rPr>
        <w:t>Fon’un bu maddeye göre hesaplanan pay değeri, her ayın 1. ve 15. günü (tatil günleri olması halinde takip eden işgünü) katılma paylarının alım-satım yerlerinde açıkça görüleb</w:t>
      </w:r>
      <w:r>
        <w:rPr>
          <w:sz w:val="24"/>
          <w:szCs w:val="24"/>
        </w:rPr>
        <w:t xml:space="preserve">ilecek şekilde asılan ilanlarla duyurulur. </w:t>
      </w:r>
    </w:p>
    <w:p w:rsidR="00142253" w:rsidRDefault="00142253">
      <w:pPr>
        <w:jc w:val="both"/>
        <w:rPr>
          <w:sz w:val="24"/>
          <w:szCs w:val="24"/>
        </w:rPr>
      </w:pPr>
    </w:p>
    <w:p w:rsidR="00142253" w:rsidRDefault="00A35816">
      <w:pPr>
        <w:pStyle w:val="BodyText3"/>
        <w:rPr>
          <w:sz w:val="24"/>
          <w:szCs w:val="24"/>
        </w:rPr>
      </w:pPr>
      <w:r>
        <w:rPr>
          <w:b/>
          <w:sz w:val="24"/>
          <w:szCs w:val="24"/>
        </w:rPr>
        <w:t xml:space="preserve">11.8. </w:t>
      </w:r>
      <w:r>
        <w:rPr>
          <w:sz w:val="24"/>
          <w:szCs w:val="24"/>
        </w:rPr>
        <w:t xml:space="preserve">Bu içtüzükte belirtilen esaslar çerçevesinde katılma paylarının alım ve satımı kurucu aracılığıyla yapılır. </w:t>
      </w:r>
    </w:p>
    <w:p w:rsidR="00142253" w:rsidRDefault="00142253">
      <w:pPr>
        <w:tabs>
          <w:tab w:val="left" w:pos="567"/>
        </w:tabs>
        <w:jc w:val="both"/>
        <w:rPr>
          <w:sz w:val="24"/>
          <w:szCs w:val="24"/>
        </w:rPr>
      </w:pPr>
    </w:p>
    <w:p w:rsidR="00142253" w:rsidRDefault="00A35816">
      <w:pPr>
        <w:jc w:val="both"/>
        <w:rPr>
          <w:b/>
          <w:sz w:val="24"/>
          <w:szCs w:val="24"/>
          <w:u w:val="single"/>
        </w:rPr>
      </w:pPr>
      <w:r>
        <w:rPr>
          <w:b/>
          <w:sz w:val="24"/>
          <w:szCs w:val="24"/>
          <w:u w:val="single"/>
        </w:rPr>
        <w:t>MADDE 12 -</w:t>
      </w:r>
      <w:r>
        <w:rPr>
          <w:b/>
          <w:sz w:val="24"/>
          <w:szCs w:val="24"/>
          <w:u w:val="single"/>
        </w:rPr>
        <w:tab/>
        <w:t xml:space="preserve"> FON GİDER GELİR FARKININ KATILMA PAYI SAHİPLERİNE DAĞITILMASI ESASLARI:</w:t>
      </w:r>
    </w:p>
    <w:p w:rsidR="00142253" w:rsidRDefault="00142253">
      <w:pPr>
        <w:jc w:val="both"/>
        <w:rPr>
          <w:sz w:val="24"/>
          <w:szCs w:val="24"/>
        </w:rPr>
      </w:pPr>
    </w:p>
    <w:p w:rsidR="00142253" w:rsidRDefault="00A35816">
      <w:pPr>
        <w:jc w:val="both"/>
        <w:rPr>
          <w:b/>
          <w:sz w:val="24"/>
          <w:szCs w:val="24"/>
        </w:rPr>
      </w:pPr>
      <w:r>
        <w:rPr>
          <w:b/>
          <w:sz w:val="24"/>
          <w:szCs w:val="24"/>
        </w:rPr>
        <w:t xml:space="preserve">12.1. </w:t>
      </w:r>
      <w:r>
        <w:rPr>
          <w:sz w:val="24"/>
          <w:szCs w:val="24"/>
        </w:rPr>
        <w:t>Fon’</w:t>
      </w:r>
      <w:r>
        <w:rPr>
          <w:sz w:val="24"/>
          <w:szCs w:val="24"/>
        </w:rPr>
        <w:t xml:space="preserve">un hesap dönemi, yatırım dönemi süresi bir yıl ve daha kısa olan fonlar için yatırım dönemidir. Yatırım dönemi süresi bir yıldan uzun olan fonlar için ise hesap dönemi, yatırım dönemi başlangıç tarihinden itibaren bir yıldır. </w:t>
      </w:r>
    </w:p>
    <w:p w:rsidR="00142253" w:rsidRDefault="00142253">
      <w:pPr>
        <w:jc w:val="both"/>
        <w:rPr>
          <w:b/>
          <w:sz w:val="24"/>
          <w:szCs w:val="24"/>
        </w:rPr>
      </w:pPr>
    </w:p>
    <w:p w:rsidR="00142253" w:rsidRDefault="00142253">
      <w:pPr>
        <w:jc w:val="both"/>
        <w:rPr>
          <w:b/>
          <w:sz w:val="24"/>
          <w:szCs w:val="24"/>
        </w:rPr>
      </w:pPr>
    </w:p>
    <w:p w:rsidR="00142253" w:rsidRDefault="00A35816">
      <w:pPr>
        <w:jc w:val="both"/>
        <w:rPr>
          <w:sz w:val="24"/>
          <w:szCs w:val="24"/>
        </w:rPr>
      </w:pPr>
      <w:r>
        <w:rPr>
          <w:b/>
          <w:sz w:val="24"/>
          <w:szCs w:val="24"/>
        </w:rPr>
        <w:t xml:space="preserve">12.2. </w:t>
      </w:r>
      <w:r>
        <w:rPr>
          <w:sz w:val="24"/>
          <w:szCs w:val="24"/>
        </w:rPr>
        <w:t>Hazırlanan bilanço ve</w:t>
      </w:r>
      <w:r>
        <w:rPr>
          <w:sz w:val="24"/>
          <w:szCs w:val="24"/>
        </w:rPr>
        <w:t xml:space="preserve"> kar ve zarar tablosu Fon denetçisi tarafından incelenmesi sonucu düzenlenen raporla birlikte, Kurucu'nun yönetim kuruluna sunulur ve onayıyla kesinleşir. 13.2. maddesinde belirtilen sürede Sermaye Piyasası Kurulu’na gönderilir.</w:t>
      </w:r>
    </w:p>
    <w:p w:rsidR="00142253" w:rsidRDefault="00142253">
      <w:pPr>
        <w:jc w:val="both"/>
        <w:rPr>
          <w:sz w:val="24"/>
          <w:szCs w:val="24"/>
        </w:rPr>
      </w:pPr>
    </w:p>
    <w:p w:rsidR="00142253" w:rsidRDefault="00A35816">
      <w:pPr>
        <w:jc w:val="both"/>
        <w:rPr>
          <w:sz w:val="24"/>
          <w:szCs w:val="24"/>
        </w:rPr>
      </w:pPr>
      <w:r>
        <w:rPr>
          <w:b/>
          <w:sz w:val="24"/>
          <w:szCs w:val="24"/>
        </w:rPr>
        <w:t xml:space="preserve">12.3. </w:t>
      </w:r>
      <w:r>
        <w:rPr>
          <w:sz w:val="24"/>
          <w:szCs w:val="24"/>
        </w:rPr>
        <w:t>Fon’da oluşan kar, k</w:t>
      </w:r>
      <w:r>
        <w:rPr>
          <w:sz w:val="24"/>
          <w:szCs w:val="24"/>
        </w:rPr>
        <w:t>atılma paylarının bu içtüzükte belirtilen esaslara göre tespit edilen fiyatlarına yansır. Katılma payı sahipleri, paylarını her ayın 1. günü bu içtüzüğün 14. maddesinde belirtilen esaslar çerçevesinde açıklanan fiyat üzerinden Fon’a geri sattıklarında, ell</w:t>
      </w:r>
      <w:r>
        <w:rPr>
          <w:sz w:val="24"/>
          <w:szCs w:val="24"/>
        </w:rPr>
        <w:t>erinde tuttukları süre için Fon’da oluşan kardan paylarını almış olurlar. Hesap dönemi sonunda ayrıca temettü dağıtımı söz konusu değildir. Yatırımcıların fonun yatırım dönemi sona ermeden önce paylarını satmaları durumunda yatırım dönemi sonu için hedefle</w:t>
      </w:r>
      <w:r>
        <w:rPr>
          <w:sz w:val="24"/>
          <w:szCs w:val="24"/>
        </w:rPr>
        <w:t xml:space="preserve">nen anapara korunmasından yararlanmaları mümkün değildir. </w:t>
      </w:r>
    </w:p>
    <w:p w:rsidR="00142253" w:rsidRDefault="00142253">
      <w:pPr>
        <w:jc w:val="both"/>
        <w:rPr>
          <w:sz w:val="24"/>
          <w:szCs w:val="24"/>
        </w:rPr>
      </w:pPr>
    </w:p>
    <w:p w:rsidR="00142253" w:rsidRDefault="00A35816">
      <w:pPr>
        <w:jc w:val="both"/>
        <w:rPr>
          <w:sz w:val="24"/>
          <w:szCs w:val="24"/>
        </w:rPr>
      </w:pPr>
      <w:r>
        <w:rPr>
          <w:b/>
          <w:sz w:val="24"/>
          <w:szCs w:val="24"/>
        </w:rPr>
        <w:t xml:space="preserve">12.4. </w:t>
      </w:r>
      <w:r>
        <w:rPr>
          <w:sz w:val="24"/>
          <w:szCs w:val="24"/>
        </w:rPr>
        <w:t>Fon varlığından yapılabilecek harcamalar:</w:t>
      </w:r>
    </w:p>
    <w:p w:rsidR="00142253" w:rsidRDefault="00142253">
      <w:pPr>
        <w:jc w:val="both"/>
        <w:rPr>
          <w:sz w:val="24"/>
          <w:szCs w:val="24"/>
        </w:rPr>
      </w:pPr>
    </w:p>
    <w:p w:rsidR="00142253" w:rsidRDefault="00A35816">
      <w:pPr>
        <w:jc w:val="both"/>
        <w:rPr>
          <w:sz w:val="24"/>
          <w:szCs w:val="24"/>
        </w:rPr>
      </w:pPr>
      <w:r>
        <w:rPr>
          <w:b/>
          <w:sz w:val="24"/>
          <w:szCs w:val="24"/>
        </w:rPr>
        <w:t xml:space="preserve">12.4.1. </w:t>
      </w:r>
      <w:r>
        <w:rPr>
          <w:sz w:val="24"/>
          <w:szCs w:val="24"/>
        </w:rPr>
        <w:t>Katılma payları ile ilgili harcamalar,</w:t>
      </w:r>
    </w:p>
    <w:p w:rsidR="00142253" w:rsidRDefault="00142253">
      <w:pPr>
        <w:jc w:val="both"/>
        <w:rPr>
          <w:sz w:val="24"/>
          <w:szCs w:val="24"/>
        </w:rPr>
      </w:pPr>
    </w:p>
    <w:p w:rsidR="00142253" w:rsidRDefault="00A35816">
      <w:pPr>
        <w:jc w:val="both"/>
        <w:rPr>
          <w:sz w:val="24"/>
          <w:szCs w:val="24"/>
        </w:rPr>
      </w:pPr>
      <w:r>
        <w:rPr>
          <w:b/>
          <w:sz w:val="24"/>
          <w:szCs w:val="24"/>
        </w:rPr>
        <w:t xml:space="preserve">12.4.2. </w:t>
      </w:r>
      <w:r>
        <w:rPr>
          <w:sz w:val="24"/>
          <w:szCs w:val="24"/>
        </w:rPr>
        <w:t>Portföy işletmesi ile ilgili harcamalar,</w:t>
      </w:r>
    </w:p>
    <w:p w:rsidR="00142253" w:rsidRDefault="00142253">
      <w:pPr>
        <w:jc w:val="both"/>
        <w:rPr>
          <w:sz w:val="24"/>
          <w:szCs w:val="24"/>
        </w:rPr>
      </w:pPr>
    </w:p>
    <w:p w:rsidR="00142253" w:rsidRDefault="00A35816">
      <w:pPr>
        <w:numPr>
          <w:ilvl w:val="0"/>
          <w:numId w:val="11"/>
        </w:numPr>
        <w:jc w:val="both"/>
        <w:rPr>
          <w:sz w:val="24"/>
          <w:szCs w:val="24"/>
        </w:rPr>
      </w:pPr>
      <w:r>
        <w:rPr>
          <w:sz w:val="24"/>
          <w:szCs w:val="24"/>
        </w:rPr>
        <w:t xml:space="preserve">Portföydeki varlıkların veya bunları temsil eden </w:t>
      </w:r>
      <w:r>
        <w:rPr>
          <w:sz w:val="24"/>
          <w:szCs w:val="24"/>
        </w:rPr>
        <w:t>belgelerin nakil veya nakile bağlı sigorta ücretleri,</w:t>
      </w:r>
    </w:p>
    <w:p w:rsidR="00142253" w:rsidRDefault="00A35816">
      <w:pPr>
        <w:numPr>
          <w:ilvl w:val="0"/>
          <w:numId w:val="11"/>
        </w:numPr>
        <w:jc w:val="both"/>
        <w:rPr>
          <w:sz w:val="24"/>
          <w:szCs w:val="24"/>
        </w:rPr>
      </w:pPr>
      <w:r>
        <w:rPr>
          <w:sz w:val="24"/>
          <w:szCs w:val="24"/>
        </w:rPr>
        <w:t>Saklama hizmetleri için ödenen her türlü ücretler,</w:t>
      </w:r>
    </w:p>
    <w:p w:rsidR="00142253" w:rsidRDefault="00A35816">
      <w:pPr>
        <w:numPr>
          <w:ilvl w:val="0"/>
          <w:numId w:val="11"/>
        </w:numPr>
        <w:jc w:val="both"/>
        <w:rPr>
          <w:sz w:val="24"/>
          <w:szCs w:val="24"/>
        </w:rPr>
      </w:pPr>
      <w:r>
        <w:rPr>
          <w:sz w:val="24"/>
          <w:szCs w:val="24"/>
        </w:rPr>
        <w:t>Varlıkların nakde çevrilmesi ve transferinde ödenen her türlü vergi, resim ve komisyonlar,</w:t>
      </w:r>
    </w:p>
    <w:p w:rsidR="00142253" w:rsidRDefault="00A35816">
      <w:pPr>
        <w:numPr>
          <w:ilvl w:val="0"/>
          <w:numId w:val="11"/>
        </w:numPr>
        <w:jc w:val="both"/>
        <w:rPr>
          <w:sz w:val="24"/>
          <w:szCs w:val="24"/>
        </w:rPr>
      </w:pPr>
      <w:r>
        <w:rPr>
          <w:sz w:val="24"/>
          <w:szCs w:val="24"/>
        </w:rPr>
        <w:t>Alınan kredilerin faizi,</w:t>
      </w:r>
    </w:p>
    <w:p w:rsidR="00142253" w:rsidRDefault="00A35816">
      <w:pPr>
        <w:numPr>
          <w:ilvl w:val="0"/>
          <w:numId w:val="5"/>
        </w:numPr>
        <w:jc w:val="both"/>
        <w:rPr>
          <w:sz w:val="24"/>
          <w:szCs w:val="24"/>
        </w:rPr>
      </w:pPr>
      <w:r>
        <w:rPr>
          <w:sz w:val="24"/>
          <w:szCs w:val="24"/>
        </w:rPr>
        <w:t>Portföye alımlarda ve portföyden sa</w:t>
      </w:r>
      <w:r>
        <w:rPr>
          <w:sz w:val="24"/>
          <w:szCs w:val="24"/>
        </w:rPr>
        <w:t>tımlarda ödenen kurtajlar ve opsiyon sözleşmeleri için ödenen prim ve benzeri giderler, (yabancı para cinsinden yapılan giderler T.C. Merkez Bankası döviz satış kuru üzerinden YTL'ye çevrilerek kaydolunur.)</w:t>
      </w:r>
    </w:p>
    <w:p w:rsidR="00142253" w:rsidRDefault="00A35816">
      <w:pPr>
        <w:numPr>
          <w:ilvl w:val="0"/>
          <w:numId w:val="5"/>
        </w:numPr>
        <w:jc w:val="both"/>
        <w:rPr>
          <w:sz w:val="24"/>
          <w:szCs w:val="24"/>
        </w:rPr>
      </w:pPr>
      <w:r>
        <w:rPr>
          <w:sz w:val="24"/>
          <w:szCs w:val="24"/>
        </w:rPr>
        <w:t>Portföy yönetim ücreti,</w:t>
      </w:r>
    </w:p>
    <w:p w:rsidR="00142253" w:rsidRDefault="00142253">
      <w:pPr>
        <w:ind w:left="708"/>
        <w:jc w:val="both"/>
        <w:rPr>
          <w:sz w:val="24"/>
          <w:szCs w:val="24"/>
        </w:rPr>
      </w:pPr>
    </w:p>
    <w:p w:rsidR="00142253" w:rsidRDefault="00A35816">
      <w:pPr>
        <w:jc w:val="both"/>
        <w:rPr>
          <w:sz w:val="24"/>
          <w:szCs w:val="24"/>
        </w:rPr>
      </w:pPr>
      <w:r>
        <w:rPr>
          <w:b/>
          <w:sz w:val="24"/>
          <w:szCs w:val="24"/>
        </w:rPr>
        <w:t xml:space="preserve">12.4.3. </w:t>
      </w:r>
      <w:r>
        <w:rPr>
          <w:sz w:val="24"/>
          <w:szCs w:val="24"/>
        </w:rPr>
        <w:t>Mevzuat gereği y</w:t>
      </w:r>
      <w:r>
        <w:rPr>
          <w:sz w:val="24"/>
          <w:szCs w:val="24"/>
        </w:rPr>
        <w:t>apılması zorunlu ilan giderleri ve diğer harcamalar,</w:t>
      </w:r>
    </w:p>
    <w:p w:rsidR="00142253" w:rsidRDefault="00A35816">
      <w:pPr>
        <w:jc w:val="both"/>
        <w:rPr>
          <w:b/>
          <w:sz w:val="24"/>
          <w:szCs w:val="24"/>
        </w:rPr>
      </w:pPr>
      <w:r>
        <w:rPr>
          <w:b/>
          <w:sz w:val="24"/>
          <w:szCs w:val="24"/>
        </w:rPr>
        <w:t xml:space="preserve">          </w:t>
      </w:r>
    </w:p>
    <w:p w:rsidR="00142253" w:rsidRDefault="00A35816">
      <w:pPr>
        <w:numPr>
          <w:ilvl w:val="0"/>
          <w:numId w:val="12"/>
        </w:numPr>
        <w:jc w:val="both"/>
        <w:rPr>
          <w:sz w:val="24"/>
          <w:szCs w:val="24"/>
        </w:rPr>
      </w:pPr>
      <w:r>
        <w:rPr>
          <w:sz w:val="24"/>
          <w:szCs w:val="24"/>
        </w:rPr>
        <w:t>Fon'un mükellefi olduğu vergi ile içtüzük tesciline ve tadillerine ilişkin noter ücretleri,</w:t>
      </w:r>
    </w:p>
    <w:p w:rsidR="00142253" w:rsidRDefault="00A35816">
      <w:pPr>
        <w:numPr>
          <w:ilvl w:val="0"/>
          <w:numId w:val="12"/>
        </w:numPr>
        <w:jc w:val="both"/>
        <w:rPr>
          <w:sz w:val="24"/>
          <w:szCs w:val="24"/>
        </w:rPr>
      </w:pPr>
      <w:r>
        <w:rPr>
          <w:sz w:val="24"/>
          <w:szCs w:val="24"/>
        </w:rPr>
        <w:t>Kurucuya verilecek yönetim ücreti,</w:t>
      </w:r>
    </w:p>
    <w:p w:rsidR="00142253" w:rsidRDefault="00A35816">
      <w:pPr>
        <w:numPr>
          <w:ilvl w:val="0"/>
          <w:numId w:val="12"/>
        </w:numPr>
        <w:jc w:val="both"/>
        <w:rPr>
          <w:sz w:val="24"/>
          <w:szCs w:val="24"/>
        </w:rPr>
      </w:pPr>
      <w:r>
        <w:rPr>
          <w:sz w:val="24"/>
          <w:szCs w:val="24"/>
        </w:rPr>
        <w:t>Bağımsız denetim kuruluşlarına ödenen denetim ücreti,</w:t>
      </w:r>
    </w:p>
    <w:p w:rsidR="00142253" w:rsidRDefault="00A35816">
      <w:pPr>
        <w:numPr>
          <w:ilvl w:val="0"/>
          <w:numId w:val="12"/>
        </w:numPr>
        <w:jc w:val="both"/>
        <w:rPr>
          <w:sz w:val="24"/>
          <w:szCs w:val="24"/>
        </w:rPr>
      </w:pPr>
      <w:r>
        <w:rPr>
          <w:sz w:val="24"/>
          <w:szCs w:val="24"/>
        </w:rPr>
        <w:t>Mevzuat ger</w:t>
      </w:r>
      <w:r>
        <w:rPr>
          <w:sz w:val="24"/>
          <w:szCs w:val="24"/>
        </w:rPr>
        <w:t>eği yapılması zorunlu ilan giderleri.</w:t>
      </w:r>
    </w:p>
    <w:p w:rsidR="00142253" w:rsidRDefault="00A35816">
      <w:pPr>
        <w:numPr>
          <w:ilvl w:val="0"/>
          <w:numId w:val="12"/>
        </w:numPr>
        <w:jc w:val="both"/>
        <w:rPr>
          <w:sz w:val="24"/>
          <w:szCs w:val="24"/>
        </w:rPr>
      </w:pPr>
      <w:r>
        <w:rPr>
          <w:sz w:val="24"/>
          <w:szCs w:val="24"/>
        </w:rPr>
        <w:t>Takvim yılı esas alınarak üçer aylık dönemlerin son iş gününde fonun net varlık değeri üzerinden hesaplanacak Kurul kayıt ücreti</w:t>
      </w:r>
    </w:p>
    <w:p w:rsidR="00142253" w:rsidRDefault="00142253">
      <w:pPr>
        <w:jc w:val="both"/>
        <w:rPr>
          <w:b/>
          <w:sz w:val="24"/>
          <w:szCs w:val="24"/>
        </w:rPr>
      </w:pPr>
    </w:p>
    <w:p w:rsidR="00142253" w:rsidRDefault="00A35816">
      <w:pPr>
        <w:jc w:val="both"/>
        <w:rPr>
          <w:sz w:val="24"/>
          <w:szCs w:val="24"/>
        </w:rPr>
      </w:pPr>
      <w:r>
        <w:rPr>
          <w:b/>
          <w:sz w:val="24"/>
          <w:szCs w:val="24"/>
        </w:rPr>
        <w:t>12.5.</w:t>
      </w:r>
      <w:r>
        <w:rPr>
          <w:sz w:val="24"/>
          <w:szCs w:val="24"/>
        </w:rPr>
        <w:t xml:space="preserve"> Kurucuya Fon’un yönetim ve temsili ile Fon’a tahsis ettiği donanım ve personel ile</w:t>
      </w:r>
      <w:r>
        <w:rPr>
          <w:sz w:val="24"/>
          <w:szCs w:val="24"/>
        </w:rPr>
        <w:t xml:space="preserve"> muhasebe hizmetleri karşılığı olarak ödenecek Fon yönetim ücretinin hesaplanması aşağıdaki şekilde olacaktır:</w:t>
      </w:r>
    </w:p>
    <w:p w:rsidR="00142253" w:rsidRDefault="00142253">
      <w:pPr>
        <w:jc w:val="both"/>
        <w:rPr>
          <w:sz w:val="24"/>
          <w:szCs w:val="24"/>
        </w:rPr>
      </w:pPr>
    </w:p>
    <w:p w:rsidR="00142253" w:rsidRDefault="00A35816">
      <w:pPr>
        <w:jc w:val="both"/>
        <w:rPr>
          <w:color w:val="0000FF"/>
          <w:sz w:val="24"/>
          <w:szCs w:val="24"/>
        </w:rPr>
      </w:pPr>
      <w:r>
        <w:rPr>
          <w:sz w:val="24"/>
          <w:szCs w:val="24"/>
        </w:rPr>
        <w:t xml:space="preserve">Fonun ilk fiyat hesaplama günü geçerli olan fiyat ile toplam satılan pay adedi çarpılarak </w:t>
      </w:r>
      <w:r>
        <w:rPr>
          <w:b/>
          <w:bCs/>
          <w:sz w:val="24"/>
          <w:szCs w:val="24"/>
        </w:rPr>
        <w:t>(Kavramsal Değer: ilkgün fiyatı*pay adedi)</w:t>
      </w:r>
      <w:r>
        <w:rPr>
          <w:sz w:val="24"/>
          <w:szCs w:val="24"/>
        </w:rPr>
        <w:t>  bulunan to</w:t>
      </w:r>
      <w:r>
        <w:rPr>
          <w:sz w:val="24"/>
          <w:szCs w:val="24"/>
        </w:rPr>
        <w:t xml:space="preserve">plam fon büyüklüğü </w:t>
      </w:r>
      <w:r>
        <w:rPr>
          <w:b/>
          <w:bCs/>
          <w:sz w:val="24"/>
          <w:szCs w:val="24"/>
        </w:rPr>
        <w:t>(Kavramsal değer)</w:t>
      </w:r>
      <w:r>
        <w:rPr>
          <w:sz w:val="24"/>
          <w:szCs w:val="24"/>
        </w:rPr>
        <w:t xml:space="preserve"> üzerinden piyasa koşullarına göre değişebilecek ve fonların özelliği gereği ilk fiyat açıklama günü net olarak belirlenebilecek olan fon yönetim ücreti  yıllık azami %3 ile asgari  %1 arasında  bir oran olacaktır. Kuruc</w:t>
      </w:r>
      <w:r>
        <w:rPr>
          <w:sz w:val="24"/>
          <w:szCs w:val="24"/>
        </w:rPr>
        <w:t>u hiçbir koşulda belirlenen bu azami  ve asgari oranlarının dışına çıkmayacaktır. Yıllık sabitlenen yönetim ücreti oranı, toplam pay fiyatı açıklama gün sayısına bölünerek, her pay fiyatı açıklanan gün için sabit bir yönetim ücreti oranı olarak [(ilk gün f</w:t>
      </w:r>
      <w:r>
        <w:rPr>
          <w:sz w:val="24"/>
          <w:szCs w:val="24"/>
        </w:rPr>
        <w:t>iyatı *pay fiyatı açıklama günü oluşan pay adedi)*sabit yönetim ücreti oranı] pay fiyatı açıklama günlerinde tahakkuk ettirilir ve bu ücret her ay sonunu izleyen bir hafta içinde kurucuya ödenir. Sözkonusu ücret kurucu ve yönetici arasında yapılacak anlaşm</w:t>
      </w:r>
      <w:r>
        <w:rPr>
          <w:sz w:val="24"/>
          <w:szCs w:val="24"/>
        </w:rPr>
        <w:t>a çerçevesinde paylaştırılır.</w:t>
      </w:r>
    </w:p>
    <w:p w:rsidR="00142253" w:rsidRDefault="00142253">
      <w:pPr>
        <w:jc w:val="both"/>
        <w:rPr>
          <w:sz w:val="24"/>
          <w:szCs w:val="24"/>
          <w:highlight w:val="yellow"/>
        </w:rPr>
      </w:pPr>
    </w:p>
    <w:p w:rsidR="00142253" w:rsidRDefault="00A35816">
      <w:pPr>
        <w:jc w:val="both"/>
        <w:rPr>
          <w:b/>
          <w:sz w:val="24"/>
          <w:szCs w:val="24"/>
          <w:u w:val="single"/>
        </w:rPr>
      </w:pPr>
      <w:r>
        <w:rPr>
          <w:b/>
          <w:sz w:val="24"/>
          <w:szCs w:val="24"/>
          <w:u w:val="single"/>
        </w:rPr>
        <w:t>MADDE 13-</w:t>
      </w:r>
      <w:r>
        <w:rPr>
          <w:b/>
          <w:sz w:val="24"/>
          <w:szCs w:val="24"/>
          <w:u w:val="single"/>
        </w:rPr>
        <w:tab/>
      </w:r>
      <w:smartTag w:uri="urn:schemas-microsoft-com:office:smarttags" w:element="stockticker">
        <w:r>
          <w:rPr>
            <w:b/>
            <w:sz w:val="24"/>
            <w:szCs w:val="24"/>
            <w:u w:val="single"/>
          </w:rPr>
          <w:t>FON</w:t>
        </w:r>
      </w:smartTag>
      <w:r>
        <w:rPr>
          <w:b/>
          <w:sz w:val="24"/>
          <w:szCs w:val="24"/>
          <w:u w:val="single"/>
        </w:rPr>
        <w:t>'LA İLGİLİ BİLGİLERİN AÇIKLANMA ŞEKLİ:</w:t>
      </w:r>
    </w:p>
    <w:p w:rsidR="00142253" w:rsidRDefault="00142253">
      <w:pPr>
        <w:jc w:val="both"/>
        <w:rPr>
          <w:sz w:val="24"/>
          <w:szCs w:val="24"/>
          <w:u w:val="single"/>
        </w:rPr>
      </w:pPr>
    </w:p>
    <w:p w:rsidR="00142253" w:rsidRDefault="00A35816">
      <w:pPr>
        <w:jc w:val="both"/>
        <w:rPr>
          <w:sz w:val="24"/>
          <w:szCs w:val="24"/>
        </w:rPr>
      </w:pPr>
      <w:r>
        <w:rPr>
          <w:b/>
          <w:sz w:val="24"/>
          <w:szCs w:val="24"/>
        </w:rPr>
        <w:t xml:space="preserve">13.1. </w:t>
      </w:r>
      <w:r>
        <w:rPr>
          <w:sz w:val="24"/>
          <w:szCs w:val="24"/>
        </w:rPr>
        <w:t>Fon portföyünün oluşması sonrasında kesinleşen portföy dağılımı, fonun yatırım döneminin başlangıç ve bitiş tarihleri, fon yönetim ücreti ile gerekli görülen diğer bi</w:t>
      </w:r>
      <w:r>
        <w:rPr>
          <w:sz w:val="24"/>
          <w:szCs w:val="24"/>
        </w:rPr>
        <w:t>lgiler, en geç yatırım dönemi başlangıç tarihini takip eden 2 işgünü içerisinde sirkülerin ilan edildiği Türkiye çapında yayın yapan en az iki günlük gazetenin Türkiye baskısında yapılacak ilan ve Kurucu tarafından uygun görülen diğer yöntemlerle (internet</w:t>
      </w:r>
      <w:r>
        <w:rPr>
          <w:sz w:val="24"/>
          <w:szCs w:val="24"/>
        </w:rPr>
        <w:t>, elektronik posta vb.) kamuya duyurulacaktır.</w:t>
      </w:r>
    </w:p>
    <w:p w:rsidR="00142253" w:rsidRDefault="00142253">
      <w:pPr>
        <w:jc w:val="both"/>
        <w:rPr>
          <w:b/>
          <w:sz w:val="24"/>
          <w:szCs w:val="24"/>
        </w:rPr>
      </w:pPr>
    </w:p>
    <w:p w:rsidR="00142253" w:rsidRDefault="00A35816">
      <w:pPr>
        <w:jc w:val="both"/>
        <w:rPr>
          <w:sz w:val="24"/>
          <w:szCs w:val="24"/>
        </w:rPr>
      </w:pPr>
      <w:r>
        <w:rPr>
          <w:b/>
          <w:sz w:val="24"/>
          <w:szCs w:val="24"/>
        </w:rPr>
        <w:t xml:space="preserve">13.2. </w:t>
      </w:r>
      <w:r>
        <w:rPr>
          <w:sz w:val="24"/>
          <w:szCs w:val="24"/>
        </w:rPr>
        <w:t>Kurucu her hesap döneminin bitiminden itibaren 3 ay içinde Fon'un, bir önceki yılla karşılaştırmalı olarak hazırlanmış bağımsız denetimden geçmiş fon bilanço ve gelir tabloları ile fon portföy değeri ve</w:t>
      </w:r>
      <w:r>
        <w:rPr>
          <w:sz w:val="24"/>
          <w:szCs w:val="24"/>
        </w:rPr>
        <w:t xml:space="preserve"> fon toplam değeri tablolarını ve dönem içindeki gelişmeleri takip eden 3 ay içinde, bağımsız denetim raporu ile birlikte Sermaye Piyasası Kurulu'na gönderir. Ayrıca, bunların bir özetini de Sermaye Piyasası Kurulu'nca belirlenecek esaslara göre ilan eder.</w:t>
      </w:r>
      <w:r>
        <w:rPr>
          <w:rStyle w:val="CommentReference"/>
          <w:sz w:val="24"/>
          <w:szCs w:val="24"/>
        </w:rPr>
        <w:t xml:space="preserve"> </w:t>
      </w:r>
      <w:r>
        <w:rPr>
          <w:sz w:val="24"/>
          <w:szCs w:val="24"/>
        </w:rPr>
        <w:t xml:space="preserve"> Koruma amaçlı fonlar yatırım dönemi sonunda yalnızca özel bağımsız denetime tabi tutulacaktır. Ayrıca, fon tarafından düzenlenen ayrıntılı ara bilanço ve gelir tabloları bağımsız denetim rapor özeti ile birlikte 6 hafta içinde katılma paylarının alınıp s</w:t>
      </w:r>
      <w:r>
        <w:rPr>
          <w:sz w:val="24"/>
          <w:szCs w:val="24"/>
        </w:rPr>
        <w:t>atıldığı yerlerde ilan edilir. Ara dönem mali tablo düzenleme ve bağımsız denetimden geçirme yükümlüğü, yatırım dönemi  9 ay ve daha uzun olan fonlar için aranacak olup, söz konusu ara dönem bağımsız denetimi fonun yatırım döneminin başlangıç tarihini taki</w:t>
      </w:r>
      <w:r>
        <w:rPr>
          <w:sz w:val="24"/>
          <w:szCs w:val="24"/>
        </w:rPr>
        <w:t>p eden 6. ayın sonu itibariyle gerçekleştirilecektir.</w:t>
      </w:r>
    </w:p>
    <w:p w:rsidR="00142253" w:rsidRDefault="00142253">
      <w:pPr>
        <w:jc w:val="both"/>
        <w:rPr>
          <w:b/>
          <w:sz w:val="24"/>
          <w:szCs w:val="24"/>
        </w:rPr>
      </w:pPr>
    </w:p>
    <w:p w:rsidR="00142253" w:rsidRDefault="00A35816">
      <w:pPr>
        <w:jc w:val="both"/>
        <w:rPr>
          <w:sz w:val="24"/>
          <w:szCs w:val="24"/>
        </w:rPr>
      </w:pPr>
      <w:r>
        <w:rPr>
          <w:b/>
          <w:sz w:val="24"/>
          <w:szCs w:val="24"/>
        </w:rPr>
        <w:t xml:space="preserve">13.3. </w:t>
      </w:r>
      <w:r>
        <w:rPr>
          <w:sz w:val="24"/>
          <w:szCs w:val="24"/>
        </w:rPr>
        <w:t xml:space="preserve">İlgili mevzuatın Ticaret Sicili’ne tescilini öngördüğü diğer hususları Fon tarafından Türkiye Ticaret Sicili Gazetesi ile Türkiye çapında yayın yapan en az iki gazetede ilan ile duyurulur. Fon </w:t>
      </w:r>
      <w:r>
        <w:rPr>
          <w:sz w:val="24"/>
          <w:szCs w:val="24"/>
        </w:rPr>
        <w:t>ile ilgili bilgilerin açıklanmasında, ayrıca diğer yayın organlarından yararlanılabilir.</w:t>
      </w:r>
    </w:p>
    <w:p w:rsidR="00142253" w:rsidRDefault="00142253">
      <w:pPr>
        <w:jc w:val="both"/>
        <w:rPr>
          <w:sz w:val="24"/>
          <w:szCs w:val="24"/>
        </w:rPr>
      </w:pPr>
    </w:p>
    <w:p w:rsidR="00142253" w:rsidRDefault="00A35816">
      <w:pPr>
        <w:jc w:val="both"/>
        <w:rPr>
          <w:sz w:val="24"/>
          <w:szCs w:val="24"/>
        </w:rPr>
      </w:pPr>
      <w:r>
        <w:rPr>
          <w:b/>
          <w:sz w:val="24"/>
          <w:szCs w:val="24"/>
        </w:rPr>
        <w:t xml:space="preserve">13.4. </w:t>
      </w:r>
      <w:r>
        <w:rPr>
          <w:sz w:val="24"/>
          <w:szCs w:val="24"/>
        </w:rPr>
        <w:t xml:space="preserve">Koruma amaçlı yatırım fonları tarafından Tebliğin 36 ncı maddesi çerçevesinde açıklanan fiyatın belirlenmesine dayanak teşkil eden fon portföy değeri ile fon </w:t>
      </w:r>
      <w:r>
        <w:rPr>
          <w:sz w:val="24"/>
          <w:szCs w:val="24"/>
        </w:rPr>
        <w:t>toplam değeri tablolarını içeren rapor düzenlenir.</w:t>
      </w:r>
    </w:p>
    <w:p w:rsidR="00142253" w:rsidRDefault="00142253">
      <w:pPr>
        <w:jc w:val="both"/>
        <w:rPr>
          <w:sz w:val="24"/>
          <w:szCs w:val="24"/>
        </w:rPr>
      </w:pPr>
    </w:p>
    <w:p w:rsidR="00142253" w:rsidRDefault="00A35816">
      <w:pPr>
        <w:jc w:val="both"/>
        <w:rPr>
          <w:sz w:val="24"/>
          <w:szCs w:val="24"/>
        </w:rPr>
      </w:pPr>
      <w:r>
        <w:rPr>
          <w:b/>
          <w:sz w:val="24"/>
          <w:szCs w:val="24"/>
        </w:rPr>
        <w:t xml:space="preserve">13.5. </w:t>
      </w:r>
      <w:r>
        <w:rPr>
          <w:sz w:val="24"/>
          <w:szCs w:val="24"/>
        </w:rPr>
        <w:t xml:space="preserve">Kurucu, Kurulca belirlenen esaslar dahilinde değerleme gününü takip eden işgünü, fon portföy ve fon toplam değeri tablolarından oluşan ve katılma payı fiyatlarının hesaplanmasını gösteren raporları </w:t>
      </w:r>
      <w:r>
        <w:rPr>
          <w:sz w:val="24"/>
          <w:szCs w:val="24"/>
        </w:rPr>
        <w:t>Sermaye Piyasası Kurulu'na gönderir.</w:t>
      </w:r>
    </w:p>
    <w:p w:rsidR="00142253" w:rsidRDefault="00142253">
      <w:pPr>
        <w:jc w:val="both"/>
        <w:rPr>
          <w:sz w:val="24"/>
          <w:szCs w:val="24"/>
        </w:rPr>
      </w:pPr>
    </w:p>
    <w:p w:rsidR="00142253" w:rsidRDefault="00A35816">
      <w:pPr>
        <w:jc w:val="both"/>
        <w:rPr>
          <w:sz w:val="24"/>
          <w:szCs w:val="24"/>
        </w:rPr>
      </w:pPr>
      <w:r>
        <w:rPr>
          <w:b/>
          <w:sz w:val="24"/>
          <w:szCs w:val="24"/>
        </w:rPr>
        <w:t xml:space="preserve">13.6. </w:t>
      </w:r>
      <w:r>
        <w:rPr>
          <w:sz w:val="24"/>
          <w:szCs w:val="24"/>
        </w:rPr>
        <w:t>Kurucu ve Yönetici, ilgili Tebliğ’in 42'nci maddesinin (e) bendinde sayılan kişilerin iştiraklerinin unvanları, adresleri, iştirak oranları ile kendi iştiraklerine ilişkin bu bilgileri her yılın ocak ayında ve bu</w:t>
      </w:r>
      <w:r>
        <w:rPr>
          <w:sz w:val="24"/>
          <w:szCs w:val="24"/>
        </w:rPr>
        <w:t>nlardaki değişikliklerin meydana geldiği tarihten itibaren 6 işgünü içinde Kurul'a yazılı olarak bildirir.</w:t>
      </w:r>
    </w:p>
    <w:p w:rsidR="00142253" w:rsidRDefault="00142253">
      <w:pPr>
        <w:jc w:val="both"/>
        <w:rPr>
          <w:sz w:val="24"/>
          <w:szCs w:val="24"/>
        </w:rPr>
      </w:pPr>
    </w:p>
    <w:p w:rsidR="00142253" w:rsidRDefault="00A35816">
      <w:pPr>
        <w:jc w:val="both"/>
        <w:rPr>
          <w:sz w:val="24"/>
          <w:szCs w:val="24"/>
        </w:rPr>
      </w:pPr>
      <w:r>
        <w:rPr>
          <w:b/>
          <w:sz w:val="24"/>
          <w:szCs w:val="24"/>
        </w:rPr>
        <w:t xml:space="preserve">13.7. </w:t>
      </w:r>
      <w:r>
        <w:rPr>
          <w:sz w:val="24"/>
          <w:szCs w:val="24"/>
        </w:rPr>
        <w:t>Halka arza ilişkin ve kamuyu aydınlatma kapsamında periyodik olarak yapılanlar dışındaki her türlü yazılı, sesli ve görüntülü basın yayın ilan</w:t>
      </w:r>
      <w:r>
        <w:rPr>
          <w:sz w:val="24"/>
          <w:szCs w:val="24"/>
        </w:rPr>
        <w:t>ları, bilgi işlem ortamında verilen ilanlar, belirsiz sayıdaki kişiye yapılan her tür mektup, çağrı, broşür, afiş ve bunlara benzer nitelikteki reklam ve ilanlarda, ilgili Tebliğ hükümlerine uyulur.</w:t>
      </w:r>
    </w:p>
    <w:p w:rsidR="00142253" w:rsidRDefault="00142253">
      <w:pPr>
        <w:jc w:val="both"/>
        <w:rPr>
          <w:sz w:val="24"/>
          <w:szCs w:val="24"/>
        </w:rPr>
      </w:pPr>
    </w:p>
    <w:p w:rsidR="00142253" w:rsidRDefault="00A35816">
      <w:pPr>
        <w:jc w:val="both"/>
        <w:rPr>
          <w:sz w:val="24"/>
          <w:szCs w:val="24"/>
        </w:rPr>
      </w:pPr>
      <w:r>
        <w:rPr>
          <w:b/>
          <w:sz w:val="24"/>
          <w:szCs w:val="24"/>
        </w:rPr>
        <w:t xml:space="preserve">13.8. </w:t>
      </w:r>
      <w:r>
        <w:rPr>
          <w:sz w:val="24"/>
          <w:szCs w:val="24"/>
        </w:rPr>
        <w:t>Kurul gerektiğinde, Tebliğ’de yer alan sürelerle b</w:t>
      </w:r>
      <w:r>
        <w:rPr>
          <w:sz w:val="24"/>
          <w:szCs w:val="24"/>
        </w:rPr>
        <w:t>ağlı olmaksızın Fon hakkında bilgi verilmesini isteyebilir. Savaş, ekonomik kriz, iletişim sistemlerinin çökmesi, menkul kıymetlerin ilgili olduğu piyasanın kapanması, bilgisayar sistemlerinde meydana gelebilecek arızalar gibi olağanüstü olayların ortaya ç</w:t>
      </w:r>
      <w:r>
        <w:rPr>
          <w:sz w:val="24"/>
          <w:szCs w:val="24"/>
        </w:rPr>
        <w:t>ıkması durumlarında, söz konusu olaylarla ilgili olarak, Tebliğ’in 33’üncü maddesindeki esaslar çerçevesinde tasarruf sahiplerine bilgi verilir.</w:t>
      </w:r>
    </w:p>
    <w:p w:rsidR="00142253" w:rsidRDefault="00142253">
      <w:pPr>
        <w:jc w:val="both"/>
        <w:rPr>
          <w:sz w:val="24"/>
          <w:szCs w:val="24"/>
        </w:rPr>
      </w:pPr>
    </w:p>
    <w:p w:rsidR="00142253" w:rsidRDefault="00A35816">
      <w:pPr>
        <w:jc w:val="both"/>
        <w:rPr>
          <w:sz w:val="24"/>
          <w:szCs w:val="24"/>
        </w:rPr>
      </w:pPr>
      <w:r>
        <w:rPr>
          <w:b/>
          <w:sz w:val="24"/>
          <w:szCs w:val="24"/>
        </w:rPr>
        <w:t>13.9.</w:t>
      </w:r>
      <w:r>
        <w:rPr>
          <w:sz w:val="24"/>
          <w:szCs w:val="24"/>
        </w:rPr>
        <w:t xml:space="preserve"> Borsa dışından alınan sözleşmelerin Tebliğ’in 43. maddesinin (b) bendinin (2) ve (4) nolu alt bentlerind</w:t>
      </w:r>
      <w:r>
        <w:rPr>
          <w:sz w:val="24"/>
          <w:szCs w:val="24"/>
        </w:rPr>
        <w:t>e sayılan niteliklere uygunluğunu tevsik edici tüm bilgi ve belgeler, sözleşmelerin portföye dahil edilmelerini takip eden 10 işgünü içinde Kurula gönderilir. Gerekli nitelikleri taşımadığı Kurulca tespit edilen sözleşmeler fon portföyünden çıkarılarak Kur</w:t>
      </w:r>
      <w:r>
        <w:rPr>
          <w:sz w:val="24"/>
          <w:szCs w:val="24"/>
        </w:rPr>
        <w:t>ulun düzenlemelerine uygun olan sözleşmeler portföye dahil edilir. Sözleşmelerin portföyden çıkarılması nedeniyle doğan masraf ve zararlar fon malvarlığına yansıtılamaz.</w:t>
      </w:r>
    </w:p>
    <w:p w:rsidR="00142253" w:rsidRDefault="00142253">
      <w:pPr>
        <w:jc w:val="both"/>
        <w:rPr>
          <w:b/>
          <w:sz w:val="24"/>
          <w:szCs w:val="24"/>
        </w:rPr>
      </w:pPr>
    </w:p>
    <w:p w:rsidR="00142253" w:rsidRDefault="00142253">
      <w:pPr>
        <w:jc w:val="both"/>
        <w:rPr>
          <w:b/>
          <w:sz w:val="24"/>
          <w:szCs w:val="24"/>
          <w:u w:val="single"/>
        </w:rPr>
      </w:pPr>
    </w:p>
    <w:p w:rsidR="00142253" w:rsidRDefault="00A35816">
      <w:pPr>
        <w:jc w:val="both"/>
        <w:rPr>
          <w:b/>
          <w:sz w:val="24"/>
          <w:szCs w:val="24"/>
          <w:u w:val="single"/>
        </w:rPr>
      </w:pPr>
      <w:r>
        <w:rPr>
          <w:b/>
          <w:sz w:val="24"/>
          <w:szCs w:val="24"/>
          <w:u w:val="single"/>
        </w:rPr>
        <w:t>MADDE 14-</w:t>
      </w:r>
      <w:r>
        <w:rPr>
          <w:b/>
          <w:sz w:val="24"/>
          <w:szCs w:val="24"/>
          <w:u w:val="single"/>
        </w:rPr>
        <w:tab/>
        <w:t>FON'A KATILMA, FON'DAN AYRILMA ŞARTLARI, FON'UN SONA ERMESİ VE FON VARLIĞI</w:t>
      </w:r>
      <w:r>
        <w:rPr>
          <w:b/>
          <w:sz w:val="24"/>
          <w:szCs w:val="24"/>
          <w:u w:val="single"/>
        </w:rPr>
        <w:t>NIN TASFİYESİ:</w:t>
      </w:r>
    </w:p>
    <w:p w:rsidR="00142253" w:rsidRDefault="00142253">
      <w:pPr>
        <w:jc w:val="both"/>
        <w:rPr>
          <w:b/>
          <w:sz w:val="24"/>
          <w:szCs w:val="24"/>
        </w:rPr>
      </w:pPr>
    </w:p>
    <w:p w:rsidR="00142253" w:rsidRDefault="00A35816">
      <w:pPr>
        <w:pStyle w:val="BodyText"/>
        <w:rPr>
          <w:b/>
          <w:snapToGrid w:val="0"/>
          <w:szCs w:val="24"/>
          <w:u w:val="single"/>
        </w:rPr>
      </w:pPr>
      <w:r>
        <w:rPr>
          <w:b/>
          <w:snapToGrid w:val="0"/>
          <w:szCs w:val="24"/>
          <w:u w:val="single"/>
        </w:rPr>
        <w:t xml:space="preserve">14.1.1. Genel Esaslar </w:t>
      </w:r>
    </w:p>
    <w:p w:rsidR="00142253" w:rsidRDefault="00142253">
      <w:pPr>
        <w:pStyle w:val="BodyText"/>
        <w:rPr>
          <w:b/>
          <w:snapToGrid w:val="0"/>
          <w:szCs w:val="24"/>
        </w:rPr>
      </w:pPr>
    </w:p>
    <w:p w:rsidR="00142253" w:rsidRDefault="00A35816">
      <w:pPr>
        <w:jc w:val="both"/>
        <w:rPr>
          <w:snapToGrid w:val="0"/>
          <w:sz w:val="24"/>
          <w:szCs w:val="24"/>
        </w:rPr>
      </w:pPr>
      <w:r>
        <w:rPr>
          <w:snapToGrid w:val="0"/>
          <w:sz w:val="24"/>
          <w:szCs w:val="24"/>
        </w:rPr>
        <w:t>Fon payları için talep toplama başlangıç ve bitiş tarihleri ile fonun yatırım dönemi izahnamede belirtilmektedir.</w:t>
      </w:r>
      <w:r>
        <w:rPr>
          <w:sz w:val="24"/>
          <w:szCs w:val="24"/>
        </w:rPr>
        <w:t xml:space="preserve"> </w:t>
      </w:r>
      <w:r>
        <w:rPr>
          <w:snapToGrid w:val="0"/>
          <w:sz w:val="24"/>
          <w:szCs w:val="24"/>
        </w:rPr>
        <w:t>Yatırımcıların izahnamede ilan edilecek olan yatırım döneminin sonuna kadar, katılma paylarını elde tu</w:t>
      </w:r>
      <w:r>
        <w:rPr>
          <w:snapToGrid w:val="0"/>
          <w:sz w:val="24"/>
          <w:szCs w:val="24"/>
        </w:rPr>
        <w:t xml:space="preserve">tmaları esastır. Talep toplama dönemi sonrasında pay satışı yapılabilecek ancak yeni pay alım talimatı verilemeyecektir. </w:t>
      </w:r>
    </w:p>
    <w:p w:rsidR="00142253" w:rsidRDefault="00142253">
      <w:pPr>
        <w:jc w:val="both"/>
        <w:rPr>
          <w:snapToGrid w:val="0"/>
          <w:sz w:val="24"/>
          <w:szCs w:val="24"/>
        </w:rPr>
      </w:pPr>
    </w:p>
    <w:p w:rsidR="00142253" w:rsidRDefault="00A35816">
      <w:pPr>
        <w:pStyle w:val="BodyText"/>
        <w:rPr>
          <w:snapToGrid w:val="0"/>
          <w:szCs w:val="24"/>
        </w:rPr>
      </w:pPr>
      <w:r>
        <w:rPr>
          <w:szCs w:val="24"/>
        </w:rPr>
        <w:t>Katılma payı satın alınması veya fona iadesinde, Kurucunun izahnamede ilan edeceği katılma payı alım satımının yapılacağı yerlere baş</w:t>
      </w:r>
      <w:r>
        <w:rPr>
          <w:szCs w:val="24"/>
        </w:rPr>
        <w:t xml:space="preserve">vurularak alım satım talimatı verilir. </w:t>
      </w:r>
    </w:p>
    <w:p w:rsidR="00142253" w:rsidRDefault="00142253">
      <w:pPr>
        <w:jc w:val="both"/>
        <w:rPr>
          <w:snapToGrid w:val="0"/>
          <w:sz w:val="24"/>
          <w:szCs w:val="24"/>
        </w:rPr>
      </w:pPr>
    </w:p>
    <w:p w:rsidR="00142253" w:rsidRDefault="00A35816">
      <w:pPr>
        <w:jc w:val="both"/>
        <w:rPr>
          <w:snapToGrid w:val="0"/>
          <w:sz w:val="24"/>
          <w:szCs w:val="24"/>
        </w:rPr>
      </w:pPr>
      <w:r>
        <w:rPr>
          <w:snapToGrid w:val="0"/>
          <w:sz w:val="24"/>
          <w:szCs w:val="24"/>
        </w:rPr>
        <w:t>Fonun talep toplama döneminin sonunda, yatırımcı hesaplarındaki tutarlar, ilgili fonun Merkez Şube’deki hesabına aktarılmak suretiyle, süreç tamamlanacaktır. Fonun yatırım döneminin bitişini takip eden 3. işgünü ise</w:t>
      </w:r>
      <w:r>
        <w:rPr>
          <w:snapToGrid w:val="0"/>
          <w:sz w:val="24"/>
          <w:szCs w:val="24"/>
        </w:rPr>
        <w:t xml:space="preserve">, anapara ve fon getirisine katılım miktarları, Merkez Şube nezdindeki ilgili koruma amaçlı fon hesabından katılma payı sahiplerinin ilgili şubelerdeki kendi hesaplarına aktarılacaktır. </w:t>
      </w:r>
    </w:p>
    <w:p w:rsidR="00142253" w:rsidRDefault="00142253">
      <w:pPr>
        <w:jc w:val="both"/>
        <w:rPr>
          <w:snapToGrid w:val="0"/>
          <w:sz w:val="24"/>
          <w:szCs w:val="24"/>
        </w:rPr>
      </w:pPr>
    </w:p>
    <w:p w:rsidR="00142253" w:rsidRDefault="00142253">
      <w:pPr>
        <w:jc w:val="both"/>
        <w:rPr>
          <w:snapToGrid w:val="0"/>
          <w:sz w:val="24"/>
          <w:szCs w:val="24"/>
        </w:rPr>
      </w:pPr>
    </w:p>
    <w:p w:rsidR="00142253" w:rsidRDefault="00A35816">
      <w:pPr>
        <w:jc w:val="both"/>
        <w:rPr>
          <w:snapToGrid w:val="0"/>
          <w:sz w:val="24"/>
          <w:szCs w:val="24"/>
        </w:rPr>
      </w:pPr>
      <w:r>
        <w:rPr>
          <w:sz w:val="24"/>
          <w:szCs w:val="24"/>
        </w:rPr>
        <w:t xml:space="preserve">Kurucu’nun kendi adına yapacağı işlemler de dahil alınan </w:t>
      </w:r>
      <w:r>
        <w:rPr>
          <w:snapToGrid w:val="0"/>
          <w:sz w:val="24"/>
          <w:szCs w:val="24"/>
        </w:rPr>
        <w:t>tüm katılm</w:t>
      </w:r>
      <w:r>
        <w:rPr>
          <w:snapToGrid w:val="0"/>
          <w:sz w:val="24"/>
          <w:szCs w:val="24"/>
        </w:rPr>
        <w:t>a payı alım satım talimatlarına alım ve satım talimatları için ayrı ayrı olmak üzere müteselsil sıra numarası verilir ve işlemler bu öncelik sırasına göre gerçekleştirilir.</w:t>
      </w:r>
    </w:p>
    <w:p w:rsidR="00142253" w:rsidRDefault="00142253">
      <w:pPr>
        <w:jc w:val="both"/>
        <w:rPr>
          <w:snapToGrid w:val="0"/>
          <w:sz w:val="24"/>
          <w:szCs w:val="24"/>
        </w:rPr>
      </w:pPr>
    </w:p>
    <w:p w:rsidR="00142253" w:rsidRDefault="00A35816">
      <w:pPr>
        <w:jc w:val="both"/>
        <w:rPr>
          <w:snapToGrid w:val="0"/>
          <w:sz w:val="24"/>
          <w:szCs w:val="24"/>
        </w:rPr>
      </w:pPr>
      <w:r>
        <w:rPr>
          <w:snapToGrid w:val="0"/>
          <w:sz w:val="24"/>
          <w:szCs w:val="24"/>
        </w:rPr>
        <w:t xml:space="preserve">Fonunun halka arzı yapıldığı andan itibaren MKK’ya yatırımcı bildirim işlemleri </w:t>
      </w:r>
      <w:r>
        <w:rPr>
          <w:snapToGrid w:val="0"/>
          <w:sz w:val="24"/>
          <w:szCs w:val="24"/>
        </w:rPr>
        <w:t>başlayacak ve fon alım/satımlarında da yatırımcı bilgileri (Alım/Satım Adet ve Kimlik bilgileri) MKK’ya  bildirilecektir.</w:t>
      </w:r>
    </w:p>
    <w:p w:rsidR="00142253" w:rsidRDefault="00142253">
      <w:pPr>
        <w:jc w:val="both"/>
        <w:rPr>
          <w:b/>
          <w:snapToGrid w:val="0"/>
          <w:sz w:val="24"/>
          <w:szCs w:val="24"/>
        </w:rPr>
      </w:pPr>
    </w:p>
    <w:p w:rsidR="00142253" w:rsidRDefault="00A35816">
      <w:pPr>
        <w:jc w:val="both"/>
        <w:rPr>
          <w:b/>
          <w:snapToGrid w:val="0"/>
          <w:sz w:val="24"/>
          <w:szCs w:val="24"/>
          <w:u w:val="single"/>
        </w:rPr>
      </w:pPr>
      <w:r>
        <w:rPr>
          <w:b/>
          <w:snapToGrid w:val="0"/>
          <w:sz w:val="24"/>
          <w:szCs w:val="24"/>
          <w:u w:val="single"/>
        </w:rPr>
        <w:t>14.1.2. Talep Toplama Dönemi</w:t>
      </w:r>
    </w:p>
    <w:p w:rsidR="00142253" w:rsidRDefault="00142253">
      <w:pPr>
        <w:jc w:val="both"/>
        <w:rPr>
          <w:b/>
          <w:snapToGrid w:val="0"/>
          <w:sz w:val="24"/>
          <w:szCs w:val="24"/>
          <w:u w:val="single"/>
        </w:rPr>
      </w:pPr>
    </w:p>
    <w:p w:rsidR="00142253" w:rsidRDefault="00A35816">
      <w:pPr>
        <w:jc w:val="both"/>
        <w:rPr>
          <w:b/>
          <w:snapToGrid w:val="0"/>
          <w:sz w:val="24"/>
          <w:szCs w:val="24"/>
          <w:u w:val="single"/>
        </w:rPr>
      </w:pPr>
      <w:r>
        <w:rPr>
          <w:b/>
          <w:snapToGrid w:val="0"/>
          <w:sz w:val="24"/>
          <w:szCs w:val="24"/>
          <w:u w:val="single"/>
        </w:rPr>
        <w:t xml:space="preserve">14.1.2.1. Alım Talimatları  </w:t>
      </w:r>
    </w:p>
    <w:p w:rsidR="00142253" w:rsidRDefault="00142253">
      <w:pPr>
        <w:jc w:val="both"/>
        <w:rPr>
          <w:sz w:val="24"/>
          <w:szCs w:val="24"/>
        </w:rPr>
      </w:pPr>
    </w:p>
    <w:p w:rsidR="00142253" w:rsidRDefault="00A35816">
      <w:pPr>
        <w:jc w:val="both"/>
        <w:rPr>
          <w:sz w:val="24"/>
          <w:szCs w:val="24"/>
        </w:rPr>
      </w:pPr>
      <w:r>
        <w:rPr>
          <w:sz w:val="24"/>
          <w:szCs w:val="24"/>
        </w:rPr>
        <w:t>Fonun asgari pay alım miktarı 500.000 pay (5.000 YTL) olup, bir payın sat</w:t>
      </w:r>
      <w:r>
        <w:rPr>
          <w:sz w:val="24"/>
          <w:szCs w:val="24"/>
        </w:rPr>
        <w:t xml:space="preserve">ış fiyatı 0,01 YTL’dir. Talep toplama döneminde katılma payı satın alınmak istenmesi halinde Kurucunun izahnamede ilan edeceği katılma payı alım satımının yapılacağı yerlere başvurularak talep formu doldurulmalı ve imzalanmalıdır. </w:t>
      </w:r>
    </w:p>
    <w:p w:rsidR="00142253" w:rsidRDefault="00142253">
      <w:pPr>
        <w:jc w:val="both"/>
        <w:rPr>
          <w:sz w:val="24"/>
          <w:szCs w:val="24"/>
        </w:rPr>
      </w:pPr>
    </w:p>
    <w:p w:rsidR="00142253" w:rsidRDefault="00A35816">
      <w:pPr>
        <w:jc w:val="both"/>
        <w:rPr>
          <w:sz w:val="24"/>
          <w:szCs w:val="24"/>
        </w:rPr>
      </w:pPr>
      <w:r>
        <w:rPr>
          <w:sz w:val="24"/>
          <w:szCs w:val="24"/>
        </w:rPr>
        <w:t xml:space="preserve">Fon izahnamesinde ilan </w:t>
      </w:r>
      <w:r>
        <w:rPr>
          <w:sz w:val="24"/>
          <w:szCs w:val="24"/>
        </w:rPr>
        <w:t xml:space="preserve">edilecek olan talep toplama başlangıç ve bitiş tarihleri arasında her gün 09:00 - 12:30 saatleri arasında pay alım talepleri kabul edilecektir. </w:t>
      </w:r>
    </w:p>
    <w:p w:rsidR="00142253" w:rsidRDefault="00142253">
      <w:pPr>
        <w:jc w:val="both"/>
        <w:rPr>
          <w:sz w:val="24"/>
          <w:szCs w:val="24"/>
        </w:rPr>
      </w:pPr>
    </w:p>
    <w:p w:rsidR="00142253" w:rsidRDefault="00A35816">
      <w:pPr>
        <w:jc w:val="both"/>
        <w:rPr>
          <w:sz w:val="24"/>
          <w:szCs w:val="24"/>
        </w:rPr>
      </w:pPr>
      <w:r>
        <w:rPr>
          <w:sz w:val="24"/>
          <w:szCs w:val="24"/>
        </w:rPr>
        <w:t>Talep edilen tutar, talep toplama döneminin sonuna kadar yatırımcı adına Likit Fon alınmak suretiyle nemalandı</w:t>
      </w:r>
      <w:r>
        <w:rPr>
          <w:sz w:val="24"/>
          <w:szCs w:val="24"/>
        </w:rPr>
        <w:t>rılır. Talep toplama süresinin sona erdiği tarihi itibariyle yatırımcı hesabında bulunan bakiye fon payı alımı için kullanılır, nema tutarı ise yatırımcılara iade edilir.</w:t>
      </w:r>
    </w:p>
    <w:p w:rsidR="00142253" w:rsidRDefault="00142253">
      <w:pPr>
        <w:jc w:val="both"/>
        <w:rPr>
          <w:sz w:val="24"/>
          <w:szCs w:val="24"/>
        </w:rPr>
      </w:pPr>
    </w:p>
    <w:p w:rsidR="00142253" w:rsidRDefault="00A35816">
      <w:pPr>
        <w:jc w:val="both"/>
        <w:rPr>
          <w:b/>
          <w:sz w:val="24"/>
          <w:szCs w:val="24"/>
        </w:rPr>
      </w:pPr>
      <w:r>
        <w:rPr>
          <w:b/>
          <w:sz w:val="24"/>
          <w:szCs w:val="24"/>
        </w:rPr>
        <w:t xml:space="preserve">14.1.2.2. Alım Bedellerinin Tahsil Esasları </w:t>
      </w:r>
    </w:p>
    <w:p w:rsidR="00142253" w:rsidRDefault="00142253">
      <w:pPr>
        <w:jc w:val="both"/>
        <w:rPr>
          <w:sz w:val="24"/>
          <w:szCs w:val="24"/>
        </w:rPr>
      </w:pPr>
    </w:p>
    <w:p w:rsidR="00142253" w:rsidRDefault="00A35816">
      <w:pPr>
        <w:jc w:val="both"/>
        <w:rPr>
          <w:snapToGrid w:val="0"/>
          <w:sz w:val="24"/>
          <w:szCs w:val="24"/>
        </w:rPr>
      </w:pPr>
      <w:r>
        <w:rPr>
          <w:sz w:val="24"/>
          <w:szCs w:val="24"/>
        </w:rPr>
        <w:t xml:space="preserve">Alım talimatının verilmesi sırasında, talep edilen katılma payı bedelinin Kurucu tarafından tahsil edilmesi esastır. </w:t>
      </w:r>
      <w:r>
        <w:rPr>
          <w:snapToGrid w:val="0"/>
          <w:sz w:val="24"/>
          <w:szCs w:val="24"/>
        </w:rPr>
        <w:t>Alım talimatları tutar ya da pay olarak verilecektir.</w:t>
      </w:r>
    </w:p>
    <w:p w:rsidR="00142253" w:rsidRDefault="00142253">
      <w:pPr>
        <w:jc w:val="both"/>
        <w:rPr>
          <w:sz w:val="24"/>
          <w:szCs w:val="24"/>
        </w:rPr>
      </w:pPr>
    </w:p>
    <w:p w:rsidR="00142253" w:rsidRDefault="00142253">
      <w:pPr>
        <w:jc w:val="both"/>
        <w:rPr>
          <w:sz w:val="24"/>
          <w:szCs w:val="24"/>
        </w:rPr>
      </w:pPr>
    </w:p>
    <w:p w:rsidR="00142253" w:rsidRDefault="00A35816">
      <w:pPr>
        <w:numPr>
          <w:ilvl w:val="0"/>
          <w:numId w:val="19"/>
        </w:numPr>
        <w:jc w:val="both"/>
        <w:rPr>
          <w:sz w:val="24"/>
          <w:szCs w:val="24"/>
        </w:rPr>
      </w:pPr>
      <w:r>
        <w:rPr>
          <w:sz w:val="24"/>
          <w:szCs w:val="24"/>
        </w:rPr>
        <w:t>Talep toplama döneminde 3.000.000 YTL nin altında kalınması veya iştirak oranının i</w:t>
      </w:r>
      <w:r>
        <w:rPr>
          <w:sz w:val="24"/>
          <w:szCs w:val="24"/>
        </w:rPr>
        <w:t>zahnamede belirtilen aralığın altında kalması dahil olmak üzere piyasa şartlarının fonun yatırım stratejisine uygun enstrümanlara daha önce öngörülen uygun koşullarda yatırım yapılmasına imkan sağlamaması halinde, kurucunun kararı ile, talep toplamanın son</w:t>
      </w:r>
      <w:r>
        <w:rPr>
          <w:sz w:val="24"/>
          <w:szCs w:val="24"/>
        </w:rPr>
        <w:t xml:space="preserve"> gününü takip eden ilk işgünü saat 12:30 itibariyle halka arzın iptaline karar verilebilir. Bu halde, bu durum, ortaya çıktığı gün, Kurucunun internet sitesinde, fonun kamuyu sürekli bilgilendirme formu aracılığıyla ve Kurucu tarafından uygun görülen diğer</w:t>
      </w:r>
      <w:r>
        <w:rPr>
          <w:sz w:val="24"/>
          <w:szCs w:val="24"/>
        </w:rPr>
        <w:t xml:space="preserve"> yöntemlerle yatırımcılara duyurulur ve konu hakkında Kurula bilgi verilir. </w:t>
      </w:r>
    </w:p>
    <w:p w:rsidR="00142253" w:rsidRDefault="00142253">
      <w:pPr>
        <w:jc w:val="both"/>
        <w:rPr>
          <w:sz w:val="24"/>
          <w:szCs w:val="24"/>
        </w:rPr>
      </w:pPr>
    </w:p>
    <w:p w:rsidR="00142253" w:rsidRDefault="00A35816">
      <w:pPr>
        <w:numPr>
          <w:ilvl w:val="0"/>
          <w:numId w:val="19"/>
        </w:numPr>
        <w:jc w:val="both"/>
        <w:rPr>
          <w:sz w:val="24"/>
          <w:szCs w:val="24"/>
        </w:rPr>
      </w:pPr>
      <w:r>
        <w:rPr>
          <w:sz w:val="24"/>
          <w:szCs w:val="24"/>
        </w:rPr>
        <w:t xml:space="preserve">Talep toplama süresi sonunda, geçerli taleplerin fonun toplam pay sayısından az olması halinde, bütün alım emirleri %100 oranında karşılanacaktır. </w:t>
      </w:r>
    </w:p>
    <w:p w:rsidR="00142253" w:rsidRDefault="00142253">
      <w:pPr>
        <w:ind w:left="360"/>
        <w:jc w:val="both"/>
        <w:rPr>
          <w:sz w:val="24"/>
          <w:szCs w:val="24"/>
        </w:rPr>
      </w:pPr>
    </w:p>
    <w:p w:rsidR="00142253" w:rsidRDefault="00A35816">
      <w:pPr>
        <w:numPr>
          <w:ilvl w:val="0"/>
          <w:numId w:val="19"/>
        </w:numPr>
        <w:jc w:val="both"/>
        <w:rPr>
          <w:sz w:val="24"/>
          <w:szCs w:val="24"/>
        </w:rPr>
      </w:pPr>
      <w:r>
        <w:rPr>
          <w:sz w:val="24"/>
          <w:szCs w:val="24"/>
        </w:rPr>
        <w:t>Talep toplama süreci içerisin</w:t>
      </w:r>
      <w:r>
        <w:rPr>
          <w:sz w:val="24"/>
          <w:szCs w:val="24"/>
        </w:rPr>
        <w:t>de fona gelecek toplam talebin bu içtüzükte belirlenmiş fon tutarından büyük olması halinde aşağıdaki yöntem takip edilecektir;</w:t>
      </w:r>
    </w:p>
    <w:p w:rsidR="00142253" w:rsidRDefault="00142253">
      <w:pPr>
        <w:jc w:val="both"/>
        <w:rPr>
          <w:sz w:val="24"/>
          <w:szCs w:val="24"/>
        </w:rPr>
      </w:pPr>
    </w:p>
    <w:p w:rsidR="00142253" w:rsidRDefault="00A35816">
      <w:pPr>
        <w:numPr>
          <w:ilvl w:val="0"/>
          <w:numId w:val="17"/>
        </w:numPr>
        <w:jc w:val="both"/>
        <w:rPr>
          <w:sz w:val="24"/>
          <w:szCs w:val="24"/>
        </w:rPr>
      </w:pPr>
      <w:r>
        <w:rPr>
          <w:sz w:val="24"/>
          <w:szCs w:val="24"/>
        </w:rPr>
        <w:t>Yatırımcı hesaplarına dağıtılacak olan paylar, ilk önce tüm yatırımcı talepleri karşılanacak şekilde asgari pay alım miktarı di</w:t>
      </w:r>
      <w:r>
        <w:rPr>
          <w:sz w:val="24"/>
          <w:szCs w:val="24"/>
        </w:rPr>
        <w:t>kkate alınarak, her yatırımcı hesabına 500.000 pay verilecek şekilde dağıtılır.</w:t>
      </w:r>
    </w:p>
    <w:p w:rsidR="00142253" w:rsidRDefault="00A35816">
      <w:pPr>
        <w:numPr>
          <w:ilvl w:val="0"/>
          <w:numId w:val="17"/>
        </w:numPr>
        <w:jc w:val="both"/>
        <w:rPr>
          <w:sz w:val="24"/>
          <w:szCs w:val="24"/>
        </w:rPr>
      </w:pPr>
      <w:r>
        <w:rPr>
          <w:sz w:val="24"/>
          <w:szCs w:val="24"/>
        </w:rPr>
        <w:t>Yatırımcı hesaplarına 500.000 pay dağıtıldıktan sonra fon paylarının kalan adedi, zaman önceliği esasına göre her bir yatırımcı talebinin %10’una isabet edecek şekilde tekrar d</w:t>
      </w:r>
      <w:r>
        <w:rPr>
          <w:sz w:val="24"/>
          <w:szCs w:val="24"/>
        </w:rPr>
        <w:t xml:space="preserve">ağıtılır. </w:t>
      </w:r>
    </w:p>
    <w:p w:rsidR="00142253" w:rsidRDefault="00A35816">
      <w:pPr>
        <w:numPr>
          <w:ilvl w:val="0"/>
          <w:numId w:val="17"/>
        </w:numPr>
        <w:jc w:val="both"/>
        <w:rPr>
          <w:sz w:val="24"/>
          <w:szCs w:val="24"/>
        </w:rPr>
      </w:pPr>
      <w:r>
        <w:rPr>
          <w:sz w:val="24"/>
          <w:szCs w:val="24"/>
        </w:rPr>
        <w:t>Yatırımcı taleplerinin karşılanamayan miktarına tekabül eden tutarlar, talep toplama süresinin sona erdiği işgününü takip eden işgünü yatırımcı hesaplarına geçilir.</w:t>
      </w:r>
    </w:p>
    <w:p w:rsidR="00142253" w:rsidRDefault="00142253">
      <w:pPr>
        <w:jc w:val="both"/>
        <w:rPr>
          <w:b/>
          <w:color w:val="000000"/>
          <w:sz w:val="24"/>
          <w:szCs w:val="24"/>
        </w:rPr>
      </w:pPr>
    </w:p>
    <w:p w:rsidR="00142253" w:rsidRDefault="00A35816">
      <w:pPr>
        <w:jc w:val="both"/>
        <w:rPr>
          <w:b/>
          <w:color w:val="000000"/>
          <w:sz w:val="24"/>
          <w:szCs w:val="24"/>
        </w:rPr>
      </w:pPr>
      <w:r>
        <w:rPr>
          <w:b/>
          <w:color w:val="000000"/>
          <w:sz w:val="24"/>
          <w:szCs w:val="24"/>
        </w:rPr>
        <w:t>14.1.2.3 Satım Talimatları</w:t>
      </w:r>
    </w:p>
    <w:p w:rsidR="00142253" w:rsidRDefault="00142253">
      <w:pPr>
        <w:jc w:val="both"/>
        <w:rPr>
          <w:sz w:val="24"/>
          <w:szCs w:val="24"/>
        </w:rPr>
      </w:pPr>
    </w:p>
    <w:p w:rsidR="00142253" w:rsidRDefault="00A35816">
      <w:pPr>
        <w:pStyle w:val="FootnoteText"/>
        <w:jc w:val="both"/>
        <w:rPr>
          <w:sz w:val="24"/>
          <w:szCs w:val="24"/>
        </w:rPr>
      </w:pPr>
      <w:r>
        <w:rPr>
          <w:sz w:val="24"/>
          <w:szCs w:val="24"/>
        </w:rPr>
        <w:t>Talep toplama döneminde pay satım talebinde bulunulması mümkün olmayıp, yatırımcıların talep toplama dönemi içinde verdikleri alım talimatlarını iptal etmeleri mümkündür. Ancak, talep toplama döneminin son günü saat 12:30’dan sonra talep iptali mümkün deği</w:t>
      </w:r>
      <w:r>
        <w:rPr>
          <w:sz w:val="24"/>
          <w:szCs w:val="24"/>
        </w:rPr>
        <w:t xml:space="preserve">ldir. </w:t>
      </w:r>
    </w:p>
    <w:p w:rsidR="00142253" w:rsidRDefault="00142253">
      <w:pPr>
        <w:pStyle w:val="FootnoteText"/>
        <w:jc w:val="both"/>
        <w:rPr>
          <w:sz w:val="24"/>
          <w:szCs w:val="24"/>
        </w:rPr>
      </w:pPr>
    </w:p>
    <w:p w:rsidR="00142253" w:rsidRDefault="00A35816">
      <w:pPr>
        <w:jc w:val="both"/>
        <w:rPr>
          <w:b/>
          <w:snapToGrid w:val="0"/>
          <w:sz w:val="24"/>
          <w:szCs w:val="24"/>
        </w:rPr>
      </w:pPr>
      <w:r>
        <w:rPr>
          <w:b/>
          <w:snapToGrid w:val="0"/>
          <w:sz w:val="24"/>
          <w:szCs w:val="24"/>
        </w:rPr>
        <w:t>14.1.3. Fonun Yatırım Dönemi</w:t>
      </w:r>
    </w:p>
    <w:p w:rsidR="00142253" w:rsidRDefault="00142253">
      <w:pPr>
        <w:jc w:val="both"/>
        <w:rPr>
          <w:b/>
          <w:snapToGrid w:val="0"/>
          <w:sz w:val="24"/>
          <w:szCs w:val="24"/>
        </w:rPr>
      </w:pPr>
    </w:p>
    <w:p w:rsidR="00142253" w:rsidRDefault="00A35816">
      <w:pPr>
        <w:jc w:val="both"/>
        <w:rPr>
          <w:b/>
          <w:snapToGrid w:val="0"/>
          <w:sz w:val="24"/>
          <w:szCs w:val="24"/>
        </w:rPr>
      </w:pPr>
      <w:r>
        <w:rPr>
          <w:b/>
          <w:snapToGrid w:val="0"/>
          <w:sz w:val="24"/>
          <w:szCs w:val="24"/>
        </w:rPr>
        <w:t xml:space="preserve">14.1.3.1. </w:t>
      </w:r>
      <w:r>
        <w:rPr>
          <w:b/>
          <w:sz w:val="24"/>
          <w:szCs w:val="24"/>
        </w:rPr>
        <w:t>Alım Talimatları</w:t>
      </w:r>
    </w:p>
    <w:p w:rsidR="00142253" w:rsidRDefault="00142253">
      <w:pPr>
        <w:jc w:val="both"/>
        <w:rPr>
          <w:b/>
          <w:snapToGrid w:val="0"/>
          <w:sz w:val="24"/>
          <w:szCs w:val="24"/>
        </w:rPr>
      </w:pPr>
    </w:p>
    <w:p w:rsidR="00142253" w:rsidRDefault="00A35816">
      <w:pPr>
        <w:jc w:val="both"/>
        <w:rPr>
          <w:snapToGrid w:val="0"/>
          <w:sz w:val="24"/>
          <w:szCs w:val="24"/>
        </w:rPr>
      </w:pPr>
      <w:r>
        <w:rPr>
          <w:snapToGrid w:val="0"/>
          <w:sz w:val="24"/>
          <w:szCs w:val="24"/>
        </w:rPr>
        <w:t xml:space="preserve">Fonun talep toplama döneminden sonra yatırım döneminin bitimine kadar olan süre içinde alım talimatı verilemeyecektir. </w:t>
      </w:r>
    </w:p>
    <w:p w:rsidR="00142253" w:rsidRDefault="00142253">
      <w:pPr>
        <w:pStyle w:val="BodyText"/>
        <w:rPr>
          <w:szCs w:val="24"/>
        </w:rPr>
      </w:pPr>
    </w:p>
    <w:p w:rsidR="00142253" w:rsidRDefault="00A35816">
      <w:pPr>
        <w:jc w:val="both"/>
        <w:rPr>
          <w:b/>
          <w:color w:val="000000"/>
          <w:sz w:val="24"/>
          <w:szCs w:val="24"/>
        </w:rPr>
      </w:pPr>
      <w:r>
        <w:rPr>
          <w:b/>
          <w:color w:val="000000"/>
          <w:sz w:val="24"/>
          <w:szCs w:val="24"/>
        </w:rPr>
        <w:t>14.1.3.2. Satım Talimatları</w:t>
      </w:r>
    </w:p>
    <w:p w:rsidR="00142253" w:rsidRDefault="00142253">
      <w:pPr>
        <w:jc w:val="both"/>
        <w:rPr>
          <w:b/>
          <w:color w:val="000000"/>
          <w:sz w:val="24"/>
          <w:szCs w:val="24"/>
        </w:rPr>
      </w:pPr>
    </w:p>
    <w:p w:rsidR="00142253" w:rsidRDefault="00A35816">
      <w:pPr>
        <w:jc w:val="both"/>
        <w:rPr>
          <w:sz w:val="24"/>
          <w:szCs w:val="24"/>
        </w:rPr>
      </w:pPr>
      <w:r>
        <w:rPr>
          <w:snapToGrid w:val="0"/>
          <w:sz w:val="24"/>
          <w:szCs w:val="24"/>
        </w:rPr>
        <w:t>Fon pay fiyatı ayda 2 (iki) defa olmak ü</w:t>
      </w:r>
      <w:r>
        <w:rPr>
          <w:snapToGrid w:val="0"/>
          <w:sz w:val="24"/>
          <w:szCs w:val="24"/>
        </w:rPr>
        <w:t xml:space="preserve">zere her ayın 1. ve 15. günü açıklanacak olup, fiyat açıklama günlerinin belirlenmesinde Türkiye ve İngiltere (Londra) piyasalarındaki tatil günleri birlikte dikkate alınacaktır. </w:t>
      </w:r>
      <w:r>
        <w:rPr>
          <w:sz w:val="24"/>
          <w:szCs w:val="24"/>
        </w:rPr>
        <w:t>Satım talimatları ayda sadece bir defa ve her ayın 1. günü açıklanan fiyat üz</w:t>
      </w:r>
      <w:r>
        <w:rPr>
          <w:sz w:val="24"/>
          <w:szCs w:val="24"/>
        </w:rPr>
        <w:t>erinden yerine getirilecektir. Yatırımcıların satım talimatlarını, fonun fiyat açıklayacağı günlerden en az 15 gün önce Kurucuya iletmeleri gerekmektedir. Bu çerçevede, yatırımcıların her ayın 14. günü saat 12:30’a kadar ilettikleri satım talimatları takip</w:t>
      </w:r>
      <w:r>
        <w:rPr>
          <w:sz w:val="24"/>
          <w:szCs w:val="24"/>
        </w:rPr>
        <w:t xml:space="preserve"> eden ayın  1. günü açıklanan fiyat üzerinden yerine getirilecektir. Yatırımcıların her ayın 14. günü saat 12:30'dan sonra ilettikleri satım talimatları ise bir sonraki erken çıkış döneminde işleme konacaktır. </w:t>
      </w:r>
    </w:p>
    <w:p w:rsidR="00142253" w:rsidRDefault="00142253">
      <w:pPr>
        <w:pStyle w:val="BodyText"/>
        <w:rPr>
          <w:szCs w:val="24"/>
        </w:rPr>
      </w:pPr>
    </w:p>
    <w:p w:rsidR="00142253" w:rsidRDefault="00A35816">
      <w:pPr>
        <w:pStyle w:val="BodyText"/>
        <w:rPr>
          <w:szCs w:val="24"/>
        </w:rPr>
      </w:pPr>
      <w:r>
        <w:rPr>
          <w:szCs w:val="24"/>
        </w:rPr>
        <w:t>Yatırımcı tarafından verilecek satım talimat</w:t>
      </w:r>
      <w:r>
        <w:rPr>
          <w:szCs w:val="24"/>
        </w:rPr>
        <w:t>larının gerçekleştirilebilmesi için, söz konusu talimatların asgari 50.000 YTL ya da 5.000.000 pay şeklinde verilmesi gerekir. Aksi takdirde satım talimatları yerine getirilmeyecektir.</w:t>
      </w:r>
    </w:p>
    <w:p w:rsidR="00142253" w:rsidRDefault="00142253">
      <w:pPr>
        <w:pStyle w:val="BodyText"/>
        <w:rPr>
          <w:szCs w:val="24"/>
        </w:rPr>
      </w:pPr>
    </w:p>
    <w:p w:rsidR="00142253" w:rsidRDefault="00A35816">
      <w:pPr>
        <w:pStyle w:val="BodyText"/>
        <w:rPr>
          <w:szCs w:val="24"/>
        </w:rPr>
      </w:pPr>
      <w:r>
        <w:rPr>
          <w:szCs w:val="24"/>
        </w:rPr>
        <w:t>Yatırımcıların yukarıdaki esaslara göre ilettikleri talimatlar netices</w:t>
      </w:r>
      <w:r>
        <w:rPr>
          <w:szCs w:val="24"/>
        </w:rPr>
        <w:t>inde satım bedelleri, talimatın gerçekleştirileceği fiyat açıklama tarihinden sonraki 3. işgünü (T+3) yatırımcılara ödenir. Yatırımcı hesabına aktarılacak bakiye, içtüzüğün 14.2. maddesinde açıklanan erken çıkış komisyonu düşülerek hesaplanır.</w:t>
      </w:r>
    </w:p>
    <w:p w:rsidR="00142253" w:rsidRDefault="00142253">
      <w:pPr>
        <w:pStyle w:val="BodyText"/>
        <w:rPr>
          <w:color w:val="0000FF"/>
          <w:szCs w:val="24"/>
        </w:rPr>
      </w:pPr>
    </w:p>
    <w:p w:rsidR="00142253" w:rsidRDefault="00142253">
      <w:pPr>
        <w:jc w:val="both"/>
        <w:rPr>
          <w:sz w:val="24"/>
          <w:szCs w:val="24"/>
        </w:rPr>
      </w:pPr>
    </w:p>
    <w:p w:rsidR="00142253" w:rsidRDefault="00A35816">
      <w:pPr>
        <w:pStyle w:val="BodyText"/>
        <w:rPr>
          <w:szCs w:val="24"/>
        </w:rPr>
      </w:pPr>
      <w:r>
        <w:rPr>
          <w:b/>
          <w:szCs w:val="24"/>
        </w:rPr>
        <w:t xml:space="preserve">14.2. </w:t>
      </w:r>
      <w:r>
        <w:rPr>
          <w:szCs w:val="24"/>
        </w:rPr>
        <w:t>Katı</w:t>
      </w:r>
      <w:r>
        <w:rPr>
          <w:szCs w:val="24"/>
        </w:rPr>
        <w:t>lma paylarının tasarruf sahipleri tarafından yatırım dönemi içerisinde satımı durumunda erken çıkış komisyonu uygulanır. Söz konusu komisyonlar tahsil edildikleri gün fona gelir olarak kaydedilir. Fon pay fiyatı üzerinden hesaplanacak komisyon oranı  %5’di</w:t>
      </w:r>
      <w:r>
        <w:rPr>
          <w:szCs w:val="24"/>
        </w:rPr>
        <w:t>r. Paylarını yatırım dönemi sonuna kadar elde tutanlardan komisyon alınmaz.</w:t>
      </w:r>
      <w:r>
        <w:rPr>
          <w:rStyle w:val="FootnoteReference"/>
          <w:szCs w:val="24"/>
        </w:rPr>
        <w:t xml:space="preserve"> </w:t>
      </w:r>
    </w:p>
    <w:p w:rsidR="00142253" w:rsidRDefault="00142253">
      <w:pPr>
        <w:jc w:val="both"/>
        <w:rPr>
          <w:sz w:val="24"/>
          <w:szCs w:val="24"/>
        </w:rPr>
      </w:pPr>
    </w:p>
    <w:p w:rsidR="00142253" w:rsidRDefault="00A35816">
      <w:pPr>
        <w:jc w:val="both"/>
        <w:rPr>
          <w:b/>
          <w:sz w:val="24"/>
          <w:szCs w:val="24"/>
        </w:rPr>
      </w:pPr>
      <w:r>
        <w:rPr>
          <w:b/>
          <w:sz w:val="24"/>
          <w:szCs w:val="24"/>
        </w:rPr>
        <w:t xml:space="preserve">14.3.  </w:t>
      </w:r>
      <w:r>
        <w:rPr>
          <w:bCs/>
          <w:sz w:val="24"/>
          <w:szCs w:val="24"/>
        </w:rPr>
        <w:t>Halka arz izahnamesinde belirtilen y</w:t>
      </w:r>
      <w:r>
        <w:rPr>
          <w:sz w:val="24"/>
          <w:szCs w:val="24"/>
        </w:rPr>
        <w:t>atırım döneminin sonunda bu içtüzükte belirtilen katılma paylarının yeniden halka arz edilmek istenmesi halinde, bu dönemin bitimini ta</w:t>
      </w:r>
      <w:r>
        <w:rPr>
          <w:sz w:val="24"/>
          <w:szCs w:val="24"/>
        </w:rPr>
        <w:t>kip eden en geç bir ay içerisinde izahname değişikliği için Kurula başvurulur. Fon portföyünün yeniden oluşturulması aşamasında fon içtüzüğünde değişiklik gerektiren herhangi bir durum olması halinde izahname değişikliğinin yanısıra fon içtüzük değişikliği</w:t>
      </w:r>
      <w:r>
        <w:rPr>
          <w:sz w:val="24"/>
          <w:szCs w:val="24"/>
        </w:rPr>
        <w:t xml:space="preserve"> talebiyle de Kurula başvurulur. </w:t>
      </w:r>
      <w:r>
        <w:rPr>
          <w:bCs/>
          <w:sz w:val="24"/>
          <w:szCs w:val="24"/>
        </w:rPr>
        <w:t>Halka arz izahnamesinde belirtilen y</w:t>
      </w:r>
      <w:r>
        <w:rPr>
          <w:sz w:val="24"/>
          <w:szCs w:val="24"/>
        </w:rPr>
        <w:t>atırım döneminin sonunda bu içtüzükte belirtilen katılma paylarının yeniden halka arz edilmek istenmemesi halinde ise, yatırım döneminin bitimini takip eden en geç bir ay içerisinde fonun</w:t>
      </w:r>
      <w:r>
        <w:rPr>
          <w:sz w:val="24"/>
          <w:szCs w:val="24"/>
        </w:rPr>
        <w:t xml:space="preserve"> tasfiye edilmesi talebiyle Kurula başvurulur. Bir aylık süre içerisinde Kurula başvurulmaması halinde, Kurul fon paylarını Kurul kaydından çıkararak fon içtüzüğünün ticaret sicilinden terkin edilmesi gerektiğini Kurucuya bildirir.</w:t>
      </w:r>
    </w:p>
    <w:p w:rsidR="00142253" w:rsidRDefault="00142253">
      <w:pPr>
        <w:jc w:val="both"/>
        <w:rPr>
          <w:b/>
          <w:sz w:val="24"/>
          <w:szCs w:val="24"/>
        </w:rPr>
      </w:pPr>
    </w:p>
    <w:p w:rsidR="00142253" w:rsidRDefault="00A35816">
      <w:pPr>
        <w:jc w:val="both"/>
        <w:rPr>
          <w:sz w:val="24"/>
          <w:szCs w:val="24"/>
        </w:rPr>
      </w:pPr>
      <w:r>
        <w:rPr>
          <w:b/>
          <w:sz w:val="24"/>
          <w:szCs w:val="24"/>
        </w:rPr>
        <w:t xml:space="preserve">14.4. </w:t>
      </w:r>
      <w:r>
        <w:rPr>
          <w:sz w:val="24"/>
          <w:szCs w:val="24"/>
        </w:rPr>
        <w:t>Kurucu tarafından</w:t>
      </w:r>
      <w:r>
        <w:rPr>
          <w:sz w:val="24"/>
          <w:szCs w:val="24"/>
        </w:rPr>
        <w:t xml:space="preserve"> katılma paylarının fon adına alım satımı esastır. Katılma paylarının, günlük olarak geri dönen miktarının azami % 10'u kurucu tarafından kendi portföyüne alınabilir. Bu şekilde alınabilecek katılma paylarının toplamı, fonun toplam pay sayısının %10'unu aş</w:t>
      </w:r>
      <w:r>
        <w:rPr>
          <w:sz w:val="24"/>
          <w:szCs w:val="24"/>
        </w:rPr>
        <w:t>amaz. Yönetici katılma paylarını kendi portföyüne alamaz.</w:t>
      </w:r>
      <w:r>
        <w:rPr>
          <w:b/>
          <w:sz w:val="24"/>
          <w:szCs w:val="24"/>
        </w:rPr>
        <w:t xml:space="preserve"> </w:t>
      </w:r>
    </w:p>
    <w:p w:rsidR="00142253" w:rsidRDefault="00142253">
      <w:pPr>
        <w:rPr>
          <w:b/>
          <w:sz w:val="24"/>
          <w:szCs w:val="24"/>
        </w:rPr>
      </w:pPr>
    </w:p>
    <w:p w:rsidR="00142253" w:rsidRDefault="00A35816">
      <w:pPr>
        <w:rPr>
          <w:sz w:val="24"/>
          <w:szCs w:val="24"/>
        </w:rPr>
      </w:pPr>
      <w:r>
        <w:rPr>
          <w:b/>
          <w:sz w:val="24"/>
          <w:szCs w:val="24"/>
        </w:rPr>
        <w:t xml:space="preserve">14.4. </w:t>
      </w:r>
      <w:r>
        <w:rPr>
          <w:sz w:val="24"/>
          <w:szCs w:val="24"/>
        </w:rPr>
        <w:t>Kurucu, katılma paylarını kendi adına alıp satamaz.</w:t>
      </w:r>
      <w:r>
        <w:rPr>
          <w:b/>
          <w:sz w:val="24"/>
          <w:szCs w:val="24"/>
        </w:rPr>
        <w:t xml:space="preserve"> </w:t>
      </w:r>
    </w:p>
    <w:p w:rsidR="00142253" w:rsidRDefault="00142253">
      <w:pPr>
        <w:jc w:val="both"/>
        <w:rPr>
          <w:sz w:val="24"/>
          <w:szCs w:val="24"/>
        </w:rPr>
      </w:pPr>
    </w:p>
    <w:p w:rsidR="00142253" w:rsidRDefault="00A35816">
      <w:pPr>
        <w:jc w:val="both"/>
        <w:rPr>
          <w:sz w:val="24"/>
          <w:szCs w:val="24"/>
        </w:rPr>
      </w:pPr>
      <w:r>
        <w:rPr>
          <w:b/>
          <w:sz w:val="24"/>
          <w:szCs w:val="24"/>
        </w:rPr>
        <w:t xml:space="preserve">14.5. </w:t>
      </w:r>
      <w:r>
        <w:rPr>
          <w:sz w:val="24"/>
          <w:szCs w:val="24"/>
        </w:rPr>
        <w:t>Fon, Tebliğ'in 52 ve 53'üncü maddesinde belirtilen hallerde sona erer.</w:t>
      </w:r>
    </w:p>
    <w:p w:rsidR="00142253" w:rsidRDefault="00142253">
      <w:pPr>
        <w:jc w:val="both"/>
        <w:rPr>
          <w:sz w:val="24"/>
          <w:szCs w:val="24"/>
        </w:rPr>
      </w:pPr>
    </w:p>
    <w:p w:rsidR="00142253" w:rsidRDefault="00A35816">
      <w:pPr>
        <w:jc w:val="both"/>
        <w:rPr>
          <w:sz w:val="24"/>
          <w:szCs w:val="24"/>
        </w:rPr>
      </w:pPr>
      <w:r>
        <w:rPr>
          <w:b/>
          <w:sz w:val="24"/>
          <w:szCs w:val="24"/>
        </w:rPr>
        <w:t xml:space="preserve">14.6. </w:t>
      </w:r>
      <w:r>
        <w:rPr>
          <w:sz w:val="24"/>
          <w:szCs w:val="24"/>
        </w:rPr>
        <w:t>Fon'un, Tebliğ’in 53'üncü maddesinde belirtilen nedenlerle sona ermesi durumunda, Fon portföyündeki varlıklar Kurucu tarafından borsada satılır. Bu şekilde satışı mümkün olmayan Fon mevcudu, açık artırma veya pazarlık veya her iki usulün uygulanması sureti</w:t>
      </w:r>
      <w:r>
        <w:rPr>
          <w:sz w:val="24"/>
          <w:szCs w:val="24"/>
        </w:rPr>
        <w:t>yle satılarak paraya çevrilebilir. Bu yolla nakde dönüşen Fon varlığı, katılma payı sahiplerine payları oranında dağıtılır. Fesih anından itibaren hiçbir katılma payı ihraç edilemez ve geri alınamaz.</w:t>
      </w:r>
    </w:p>
    <w:p w:rsidR="00142253" w:rsidRDefault="00142253">
      <w:pPr>
        <w:jc w:val="both"/>
        <w:rPr>
          <w:sz w:val="24"/>
          <w:szCs w:val="24"/>
        </w:rPr>
      </w:pPr>
    </w:p>
    <w:p w:rsidR="00142253" w:rsidRDefault="00A35816">
      <w:pPr>
        <w:jc w:val="both"/>
        <w:rPr>
          <w:sz w:val="24"/>
          <w:szCs w:val="24"/>
        </w:rPr>
      </w:pPr>
      <w:r>
        <w:rPr>
          <w:b/>
          <w:sz w:val="24"/>
          <w:szCs w:val="24"/>
        </w:rPr>
        <w:t xml:space="preserve">12.7. </w:t>
      </w:r>
      <w:r>
        <w:rPr>
          <w:sz w:val="24"/>
          <w:szCs w:val="24"/>
        </w:rPr>
        <w:t>Tasfiyenin sona ermesi üzerine, Fon adının Ticare</w:t>
      </w:r>
      <w:r>
        <w:rPr>
          <w:sz w:val="24"/>
          <w:szCs w:val="24"/>
        </w:rPr>
        <w:t xml:space="preserve">t Sicili'nden silinmesi için keyfiyet, kurucu tarafından Ticaret Sicili'ne tescil ve ilan ettirilir, bu durum Bankacılık Düzenleme ve Denetleme Kurumu’na </w:t>
      </w:r>
      <w:r>
        <w:rPr>
          <w:rStyle w:val="FootnoteReference"/>
          <w:b/>
          <w:sz w:val="24"/>
          <w:szCs w:val="24"/>
        </w:rPr>
        <w:t xml:space="preserve"> </w:t>
      </w:r>
      <w:r>
        <w:rPr>
          <w:sz w:val="24"/>
          <w:szCs w:val="24"/>
        </w:rPr>
        <w:t>ve Sermaye Piyasası Kurulu'na bildirilir.</w:t>
      </w:r>
    </w:p>
    <w:p w:rsidR="00142253" w:rsidRDefault="00142253">
      <w:pPr>
        <w:jc w:val="both"/>
        <w:rPr>
          <w:sz w:val="24"/>
          <w:szCs w:val="24"/>
        </w:rPr>
      </w:pPr>
    </w:p>
    <w:p w:rsidR="00142253" w:rsidRDefault="00A35816">
      <w:pPr>
        <w:jc w:val="both"/>
        <w:rPr>
          <w:sz w:val="24"/>
          <w:szCs w:val="24"/>
        </w:rPr>
      </w:pPr>
      <w:r>
        <w:rPr>
          <w:b/>
          <w:sz w:val="24"/>
          <w:szCs w:val="24"/>
        </w:rPr>
        <w:t xml:space="preserve">12.8. </w:t>
      </w:r>
      <w:r>
        <w:rPr>
          <w:sz w:val="24"/>
          <w:szCs w:val="24"/>
        </w:rPr>
        <w:t>Fon'un Tebliğ'in 52'nci maddesinde belirlenen nedenl</w:t>
      </w:r>
      <w:r>
        <w:rPr>
          <w:sz w:val="24"/>
          <w:szCs w:val="24"/>
        </w:rPr>
        <w:t>erle sona ermesi halinde, tasfiyesinde uygulanacak usul, kurucunun ve/veya saklayıcı kurumun iflasına veya tasfiyesine karar veren makam tarafından belirlenir.</w:t>
      </w:r>
    </w:p>
    <w:p w:rsidR="00142253" w:rsidRDefault="00142253">
      <w:pPr>
        <w:ind w:firstLine="1170"/>
        <w:jc w:val="both"/>
        <w:rPr>
          <w:sz w:val="24"/>
          <w:szCs w:val="24"/>
        </w:rPr>
      </w:pPr>
    </w:p>
    <w:p w:rsidR="00142253" w:rsidRDefault="00A35816">
      <w:pPr>
        <w:pStyle w:val="List2"/>
        <w:pBdr>
          <w:top w:val="single" w:sz="6" w:space="1" w:color="auto"/>
          <w:left w:val="single" w:sz="6" w:space="1" w:color="auto"/>
          <w:bottom w:val="single" w:sz="6" w:space="1" w:color="auto"/>
          <w:right w:val="single" w:sz="6" w:space="1" w:color="auto"/>
        </w:pBdr>
        <w:tabs>
          <w:tab w:val="left" w:pos="284"/>
        </w:tabs>
        <w:ind w:left="284" w:firstLine="0"/>
        <w:jc w:val="both"/>
        <w:rPr>
          <w:b/>
          <w:color w:val="FF0000"/>
          <w:sz w:val="24"/>
          <w:szCs w:val="24"/>
        </w:rPr>
      </w:pPr>
      <w:r>
        <w:rPr>
          <w:b/>
          <w:color w:val="FF0000"/>
          <w:sz w:val="24"/>
          <w:szCs w:val="24"/>
        </w:rPr>
        <w:t>Bu içtüzük hükümleri ile Sermaye Piyasası Kurulu’nun düzenlemeleri arasında bir uygunsuzluk olu</w:t>
      </w:r>
      <w:r>
        <w:rPr>
          <w:b/>
          <w:color w:val="FF0000"/>
          <w:sz w:val="24"/>
          <w:szCs w:val="24"/>
        </w:rPr>
        <w:t>ştuğu zaman Sermaye Piyasası Kurulu düzenlemeleri dikkate alınır. Sermaye Piyasası Kurulu içtüzük hükümlerinin değiştirilmesini her zaman talep edebilir ve içtüzük standartlarını değiştirebilir.</w:t>
      </w:r>
    </w:p>
    <w:sectPr w:rsidR="00142253">
      <w:footerReference w:type="even" r:id="rId8"/>
      <w:footerReference w:type="default" r:id="rId9"/>
      <w:pgSz w:w="11907" w:h="16840" w:code="9"/>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598" w:rsidRDefault="00EF3598">
      <w:r>
        <w:separator/>
      </w:r>
    </w:p>
  </w:endnote>
  <w:endnote w:type="continuationSeparator" w:id="0">
    <w:p w:rsidR="00EF3598" w:rsidRDefault="00EF3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A0A" w:rsidRDefault="00682A0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82A0A" w:rsidRDefault="00682A0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2A0A" w:rsidRDefault="00682A0A">
    <w:pPr>
      <w:pStyle w:val="Footer"/>
      <w:framePr w:wrap="around" w:vAnchor="text" w:hAnchor="margin" w:xAlign="center" w:y="1"/>
      <w:rPr>
        <w:rStyle w:val="PageNumber"/>
        <w:b/>
      </w:rPr>
    </w:pPr>
    <w:r>
      <w:rPr>
        <w:rStyle w:val="PageNumber"/>
        <w:b/>
      </w:rPr>
      <w:fldChar w:fldCharType="begin"/>
    </w:r>
    <w:r>
      <w:rPr>
        <w:rStyle w:val="PageNumber"/>
        <w:b/>
      </w:rPr>
      <w:instrText xml:space="preserve">PAGE  </w:instrText>
    </w:r>
    <w:r>
      <w:rPr>
        <w:rStyle w:val="PageNumber"/>
        <w:b/>
      </w:rPr>
      <w:fldChar w:fldCharType="separate"/>
    </w:r>
    <w:r w:rsidR="00A35816">
      <w:rPr>
        <w:rStyle w:val="PageNumber"/>
        <w:b/>
        <w:noProof/>
      </w:rPr>
      <w:t>1</w:t>
    </w:r>
    <w:r>
      <w:rPr>
        <w:rStyle w:val="PageNumber"/>
        <w:b/>
      </w:rPr>
      <w:fldChar w:fldCharType="end"/>
    </w:r>
  </w:p>
  <w:p w:rsidR="00682A0A" w:rsidRDefault="00682A0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598" w:rsidRDefault="00EF3598">
      <w:r>
        <w:separator/>
      </w:r>
    </w:p>
  </w:footnote>
  <w:footnote w:type="continuationSeparator" w:id="0">
    <w:p w:rsidR="00EF3598" w:rsidRDefault="00EF359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032CD"/>
    <w:multiLevelType w:val="singleLevel"/>
    <w:tmpl w:val="4CACDE44"/>
    <w:lvl w:ilvl="0">
      <w:start w:val="1"/>
      <w:numFmt w:val="decimal"/>
      <w:lvlText w:val="8.%1. "/>
      <w:legacy w:legacy="1" w:legacySpace="0" w:legacyIndent="283"/>
      <w:lvlJc w:val="left"/>
      <w:pPr>
        <w:ind w:left="643" w:hanging="283"/>
      </w:pPr>
      <w:rPr>
        <w:b w:val="0"/>
        <w:i w:val="0"/>
        <w:sz w:val="20"/>
      </w:rPr>
    </w:lvl>
  </w:abstractNum>
  <w:abstractNum w:abstractNumId="1">
    <w:nsid w:val="0DF36483"/>
    <w:multiLevelType w:val="hybridMultilevel"/>
    <w:tmpl w:val="11206E62"/>
    <w:lvl w:ilvl="0" w:tplc="0D164228">
      <w:start w:val="1"/>
      <w:numFmt w:val="lowerLetter"/>
      <w:lvlText w:val="%1)"/>
      <w:lvlJc w:val="left"/>
      <w:pPr>
        <w:tabs>
          <w:tab w:val="num" w:pos="720"/>
        </w:tabs>
        <w:ind w:left="720" w:hanging="360"/>
      </w:pPr>
      <w:rPr>
        <w:rFonts w:hint="default"/>
        <w:b/>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
    <w:nsid w:val="18AB0F58"/>
    <w:multiLevelType w:val="singleLevel"/>
    <w:tmpl w:val="AACE44D6"/>
    <w:lvl w:ilvl="0">
      <w:start w:val="1"/>
      <w:numFmt w:val="lowerLetter"/>
      <w:lvlText w:val="%1)"/>
      <w:lvlJc w:val="left"/>
      <w:pPr>
        <w:tabs>
          <w:tab w:val="num" w:pos="1068"/>
        </w:tabs>
        <w:ind w:left="1068" w:hanging="360"/>
      </w:pPr>
      <w:rPr>
        <w:rFonts w:hint="default"/>
        <w:b/>
      </w:rPr>
    </w:lvl>
  </w:abstractNum>
  <w:abstractNum w:abstractNumId="3">
    <w:nsid w:val="2EF76C69"/>
    <w:multiLevelType w:val="singleLevel"/>
    <w:tmpl w:val="8254367C"/>
    <w:lvl w:ilvl="0">
      <w:start w:val="1"/>
      <w:numFmt w:val="lowerLetter"/>
      <w:lvlText w:val="%1)"/>
      <w:lvlJc w:val="left"/>
      <w:pPr>
        <w:tabs>
          <w:tab w:val="num" w:pos="1068"/>
        </w:tabs>
        <w:ind w:left="1068" w:hanging="360"/>
      </w:pPr>
      <w:rPr>
        <w:rFonts w:hint="default"/>
        <w:b/>
      </w:rPr>
    </w:lvl>
  </w:abstractNum>
  <w:abstractNum w:abstractNumId="4">
    <w:nsid w:val="38B12C19"/>
    <w:multiLevelType w:val="singleLevel"/>
    <w:tmpl w:val="01E859C6"/>
    <w:lvl w:ilvl="0">
      <w:start w:val="3"/>
      <w:numFmt w:val="decimal"/>
      <w:lvlText w:val="8.%1. "/>
      <w:legacy w:legacy="1" w:legacySpace="0" w:legacyIndent="283"/>
      <w:lvlJc w:val="left"/>
      <w:pPr>
        <w:ind w:left="643" w:hanging="283"/>
      </w:pPr>
      <w:rPr>
        <w:b w:val="0"/>
        <w:i w:val="0"/>
        <w:sz w:val="20"/>
      </w:rPr>
    </w:lvl>
  </w:abstractNum>
  <w:abstractNum w:abstractNumId="5">
    <w:nsid w:val="39F10277"/>
    <w:multiLevelType w:val="multilevel"/>
    <w:tmpl w:val="9A285DF4"/>
    <w:lvl w:ilvl="0">
      <w:start w:val="5"/>
      <w:numFmt w:val="decimal"/>
      <w:lvlText w:val="%1."/>
      <w:lvlJc w:val="left"/>
      <w:pPr>
        <w:tabs>
          <w:tab w:val="num" w:pos="480"/>
        </w:tabs>
        <w:ind w:left="480" w:hanging="480"/>
      </w:pPr>
      <w:rPr>
        <w:rFonts w:hint="default"/>
        <w:b/>
      </w:rPr>
    </w:lvl>
    <w:lvl w:ilvl="1">
      <w:start w:val="3"/>
      <w:numFmt w:val="decimal"/>
      <w:lvlText w:val="%1.%2."/>
      <w:lvlJc w:val="left"/>
      <w:pPr>
        <w:tabs>
          <w:tab w:val="num" w:pos="480"/>
        </w:tabs>
        <w:ind w:left="480" w:hanging="48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nsid w:val="413370C6"/>
    <w:multiLevelType w:val="singleLevel"/>
    <w:tmpl w:val="69766EC2"/>
    <w:lvl w:ilvl="0">
      <w:start w:val="2"/>
      <w:numFmt w:val="decimal"/>
      <w:lvlText w:val="12.%1. "/>
      <w:legacy w:legacy="1" w:legacySpace="0" w:legacyIndent="283"/>
      <w:lvlJc w:val="left"/>
      <w:pPr>
        <w:ind w:left="643" w:hanging="283"/>
      </w:pPr>
      <w:rPr>
        <w:b w:val="0"/>
        <w:i w:val="0"/>
        <w:sz w:val="20"/>
      </w:rPr>
    </w:lvl>
  </w:abstractNum>
  <w:abstractNum w:abstractNumId="7">
    <w:nsid w:val="44BC124C"/>
    <w:multiLevelType w:val="singleLevel"/>
    <w:tmpl w:val="0C09000F"/>
    <w:lvl w:ilvl="0">
      <w:start w:val="1"/>
      <w:numFmt w:val="decimal"/>
      <w:lvlText w:val="%1."/>
      <w:lvlJc w:val="left"/>
      <w:pPr>
        <w:tabs>
          <w:tab w:val="num" w:pos="360"/>
        </w:tabs>
        <w:ind w:left="360" w:hanging="360"/>
      </w:pPr>
    </w:lvl>
  </w:abstractNum>
  <w:abstractNum w:abstractNumId="8">
    <w:nsid w:val="46085DF4"/>
    <w:multiLevelType w:val="hybridMultilevel"/>
    <w:tmpl w:val="6B562318"/>
    <w:lvl w:ilvl="0" w:tplc="E3C0B7CE">
      <w:start w:val="1"/>
      <w:numFmt w:val="lowerLetter"/>
      <w:lvlText w:val="%1)"/>
      <w:lvlJc w:val="left"/>
      <w:pPr>
        <w:tabs>
          <w:tab w:val="num" w:pos="420"/>
        </w:tabs>
        <w:ind w:left="420" w:hanging="360"/>
      </w:pPr>
      <w:rPr>
        <w:rFonts w:hint="default"/>
      </w:rPr>
    </w:lvl>
    <w:lvl w:ilvl="1" w:tplc="A890407E">
      <w:start w:val="1"/>
      <w:numFmt w:val="decimal"/>
      <w:lvlText w:val="%2)"/>
      <w:lvlJc w:val="left"/>
      <w:pPr>
        <w:tabs>
          <w:tab w:val="num" w:pos="1140"/>
        </w:tabs>
        <w:ind w:left="1140" w:hanging="360"/>
      </w:pPr>
      <w:rPr>
        <w:rFonts w:hint="default"/>
      </w:r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9">
    <w:nsid w:val="499104EB"/>
    <w:multiLevelType w:val="singleLevel"/>
    <w:tmpl w:val="C804D22C"/>
    <w:lvl w:ilvl="0">
      <w:start w:val="4"/>
      <w:numFmt w:val="decimal"/>
      <w:lvlText w:val="11.%1. "/>
      <w:legacy w:legacy="1" w:legacySpace="0" w:legacyIndent="283"/>
      <w:lvlJc w:val="left"/>
      <w:pPr>
        <w:ind w:left="643" w:hanging="283"/>
      </w:pPr>
      <w:rPr>
        <w:b w:val="0"/>
        <w:i w:val="0"/>
        <w:sz w:val="20"/>
      </w:rPr>
    </w:lvl>
  </w:abstractNum>
  <w:abstractNum w:abstractNumId="10">
    <w:nsid w:val="523D3D2E"/>
    <w:multiLevelType w:val="singleLevel"/>
    <w:tmpl w:val="322290A6"/>
    <w:lvl w:ilvl="0">
      <w:start w:val="5"/>
      <w:numFmt w:val="lowerLetter"/>
      <w:lvlText w:val="%1)"/>
      <w:lvlJc w:val="left"/>
      <w:pPr>
        <w:tabs>
          <w:tab w:val="num" w:pos="1068"/>
        </w:tabs>
        <w:ind w:left="1068" w:hanging="360"/>
      </w:pPr>
      <w:rPr>
        <w:rFonts w:hint="default"/>
        <w:b/>
      </w:rPr>
    </w:lvl>
  </w:abstractNum>
  <w:abstractNum w:abstractNumId="11">
    <w:nsid w:val="633A74C7"/>
    <w:multiLevelType w:val="singleLevel"/>
    <w:tmpl w:val="B1EEA38C"/>
    <w:lvl w:ilvl="0">
      <w:start w:val="1"/>
      <w:numFmt w:val="lowerLetter"/>
      <w:lvlText w:val="%1)"/>
      <w:lvlJc w:val="left"/>
      <w:pPr>
        <w:tabs>
          <w:tab w:val="num" w:pos="1068"/>
        </w:tabs>
        <w:ind w:left="1068" w:hanging="360"/>
      </w:pPr>
      <w:rPr>
        <w:rFonts w:hint="default"/>
        <w:b/>
      </w:rPr>
    </w:lvl>
  </w:abstractNum>
  <w:abstractNum w:abstractNumId="12">
    <w:nsid w:val="69647295"/>
    <w:multiLevelType w:val="singleLevel"/>
    <w:tmpl w:val="34E20C96"/>
    <w:lvl w:ilvl="0">
      <w:start w:val="8"/>
      <w:numFmt w:val="lowerLetter"/>
      <w:lvlText w:val="%1) "/>
      <w:legacy w:legacy="1" w:legacySpace="0" w:legacyIndent="360"/>
      <w:lvlJc w:val="left"/>
      <w:pPr>
        <w:ind w:left="930" w:hanging="360"/>
      </w:pPr>
      <w:rPr>
        <w:rFonts w:ascii="Times New Roman" w:hAnsi="Times New Roman" w:hint="default"/>
        <w:b w:val="0"/>
        <w:i w:val="0"/>
        <w:sz w:val="18"/>
        <w:u w:val="none"/>
      </w:rPr>
    </w:lvl>
  </w:abstractNum>
  <w:abstractNum w:abstractNumId="13">
    <w:nsid w:val="6B6956C3"/>
    <w:multiLevelType w:val="hybridMultilevel"/>
    <w:tmpl w:val="80C21720"/>
    <w:lvl w:ilvl="0" w:tplc="041F0009">
      <w:start w:val="1"/>
      <w:numFmt w:val="bullet"/>
      <w:lvlText w:val=""/>
      <w:lvlJc w:val="left"/>
      <w:pPr>
        <w:tabs>
          <w:tab w:val="num" w:pos="1068"/>
        </w:tabs>
        <w:ind w:left="1068" w:hanging="360"/>
      </w:pPr>
      <w:rPr>
        <w:rFonts w:ascii="Wingdings" w:hAnsi="Wingdings" w:hint="default"/>
      </w:rPr>
    </w:lvl>
    <w:lvl w:ilvl="1" w:tplc="041F0003" w:tentative="1">
      <w:start w:val="1"/>
      <w:numFmt w:val="bullet"/>
      <w:lvlText w:val="o"/>
      <w:lvlJc w:val="left"/>
      <w:pPr>
        <w:tabs>
          <w:tab w:val="num" w:pos="1788"/>
        </w:tabs>
        <w:ind w:left="1788" w:hanging="360"/>
      </w:pPr>
      <w:rPr>
        <w:rFonts w:ascii="Courier New" w:hAnsi="Courier New" w:cs="Courier New" w:hint="default"/>
      </w:rPr>
    </w:lvl>
    <w:lvl w:ilvl="2" w:tplc="041F0005" w:tentative="1">
      <w:start w:val="1"/>
      <w:numFmt w:val="bullet"/>
      <w:lvlText w:val=""/>
      <w:lvlJc w:val="left"/>
      <w:pPr>
        <w:tabs>
          <w:tab w:val="num" w:pos="2508"/>
        </w:tabs>
        <w:ind w:left="2508" w:hanging="360"/>
      </w:pPr>
      <w:rPr>
        <w:rFonts w:ascii="Wingdings" w:hAnsi="Wingdings" w:hint="default"/>
      </w:rPr>
    </w:lvl>
    <w:lvl w:ilvl="3" w:tplc="041F0001" w:tentative="1">
      <w:start w:val="1"/>
      <w:numFmt w:val="bullet"/>
      <w:lvlText w:val=""/>
      <w:lvlJc w:val="left"/>
      <w:pPr>
        <w:tabs>
          <w:tab w:val="num" w:pos="3228"/>
        </w:tabs>
        <w:ind w:left="3228" w:hanging="360"/>
      </w:pPr>
      <w:rPr>
        <w:rFonts w:ascii="Symbol" w:hAnsi="Symbol" w:hint="default"/>
      </w:rPr>
    </w:lvl>
    <w:lvl w:ilvl="4" w:tplc="041F0003" w:tentative="1">
      <w:start w:val="1"/>
      <w:numFmt w:val="bullet"/>
      <w:lvlText w:val="o"/>
      <w:lvlJc w:val="left"/>
      <w:pPr>
        <w:tabs>
          <w:tab w:val="num" w:pos="3948"/>
        </w:tabs>
        <w:ind w:left="3948" w:hanging="360"/>
      </w:pPr>
      <w:rPr>
        <w:rFonts w:ascii="Courier New" w:hAnsi="Courier New" w:cs="Courier New" w:hint="default"/>
      </w:rPr>
    </w:lvl>
    <w:lvl w:ilvl="5" w:tplc="041F0005" w:tentative="1">
      <w:start w:val="1"/>
      <w:numFmt w:val="bullet"/>
      <w:lvlText w:val=""/>
      <w:lvlJc w:val="left"/>
      <w:pPr>
        <w:tabs>
          <w:tab w:val="num" w:pos="4668"/>
        </w:tabs>
        <w:ind w:left="4668" w:hanging="360"/>
      </w:pPr>
      <w:rPr>
        <w:rFonts w:ascii="Wingdings" w:hAnsi="Wingdings" w:hint="default"/>
      </w:rPr>
    </w:lvl>
    <w:lvl w:ilvl="6" w:tplc="041F0001" w:tentative="1">
      <w:start w:val="1"/>
      <w:numFmt w:val="bullet"/>
      <w:lvlText w:val=""/>
      <w:lvlJc w:val="left"/>
      <w:pPr>
        <w:tabs>
          <w:tab w:val="num" w:pos="5388"/>
        </w:tabs>
        <w:ind w:left="5388" w:hanging="360"/>
      </w:pPr>
      <w:rPr>
        <w:rFonts w:ascii="Symbol" w:hAnsi="Symbol" w:hint="default"/>
      </w:rPr>
    </w:lvl>
    <w:lvl w:ilvl="7" w:tplc="041F0003" w:tentative="1">
      <w:start w:val="1"/>
      <w:numFmt w:val="bullet"/>
      <w:lvlText w:val="o"/>
      <w:lvlJc w:val="left"/>
      <w:pPr>
        <w:tabs>
          <w:tab w:val="num" w:pos="6108"/>
        </w:tabs>
        <w:ind w:left="6108" w:hanging="360"/>
      </w:pPr>
      <w:rPr>
        <w:rFonts w:ascii="Courier New" w:hAnsi="Courier New" w:cs="Courier New" w:hint="default"/>
      </w:rPr>
    </w:lvl>
    <w:lvl w:ilvl="8" w:tplc="041F0005" w:tentative="1">
      <w:start w:val="1"/>
      <w:numFmt w:val="bullet"/>
      <w:lvlText w:val=""/>
      <w:lvlJc w:val="left"/>
      <w:pPr>
        <w:tabs>
          <w:tab w:val="num" w:pos="6828"/>
        </w:tabs>
        <w:ind w:left="6828" w:hanging="360"/>
      </w:pPr>
      <w:rPr>
        <w:rFonts w:ascii="Wingdings" w:hAnsi="Wingdings" w:hint="default"/>
      </w:rPr>
    </w:lvl>
  </w:abstractNum>
  <w:abstractNum w:abstractNumId="14">
    <w:nsid w:val="703C7D18"/>
    <w:multiLevelType w:val="multilevel"/>
    <w:tmpl w:val="BA40DE5C"/>
    <w:lvl w:ilvl="0">
      <w:start w:val="11"/>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714D5E9D"/>
    <w:multiLevelType w:val="hybridMultilevel"/>
    <w:tmpl w:val="47D0596E"/>
    <w:lvl w:ilvl="0" w:tplc="58367C8A">
      <w:start w:val="15"/>
      <w:numFmt w:val="bullet"/>
      <w:lvlText w:val="-"/>
      <w:lvlJc w:val="left"/>
      <w:pPr>
        <w:tabs>
          <w:tab w:val="num" w:pos="1800"/>
        </w:tabs>
        <w:ind w:left="1800" w:hanging="360"/>
      </w:pPr>
      <w:rPr>
        <w:rFonts w:ascii="Times New Roman" w:eastAsia="Times New Roman" w:hAnsi="Times New Roman" w:cs="Times New Roman" w:hint="default"/>
      </w:rPr>
    </w:lvl>
    <w:lvl w:ilvl="1" w:tplc="041F0003" w:tentative="1">
      <w:start w:val="1"/>
      <w:numFmt w:val="bullet"/>
      <w:lvlText w:val="o"/>
      <w:lvlJc w:val="left"/>
      <w:pPr>
        <w:tabs>
          <w:tab w:val="num" w:pos="2520"/>
        </w:tabs>
        <w:ind w:left="2520" w:hanging="360"/>
      </w:pPr>
      <w:rPr>
        <w:rFonts w:ascii="Courier New" w:hAnsi="Courier New" w:cs="Courier New" w:hint="default"/>
      </w:rPr>
    </w:lvl>
    <w:lvl w:ilvl="2" w:tplc="041F0005" w:tentative="1">
      <w:start w:val="1"/>
      <w:numFmt w:val="bullet"/>
      <w:lvlText w:val=""/>
      <w:lvlJc w:val="left"/>
      <w:pPr>
        <w:tabs>
          <w:tab w:val="num" w:pos="3240"/>
        </w:tabs>
        <w:ind w:left="3240" w:hanging="360"/>
      </w:pPr>
      <w:rPr>
        <w:rFonts w:ascii="Wingdings" w:hAnsi="Wingdings" w:hint="default"/>
      </w:rPr>
    </w:lvl>
    <w:lvl w:ilvl="3" w:tplc="041F0001" w:tentative="1">
      <w:start w:val="1"/>
      <w:numFmt w:val="bullet"/>
      <w:lvlText w:val=""/>
      <w:lvlJc w:val="left"/>
      <w:pPr>
        <w:tabs>
          <w:tab w:val="num" w:pos="3960"/>
        </w:tabs>
        <w:ind w:left="3960" w:hanging="360"/>
      </w:pPr>
      <w:rPr>
        <w:rFonts w:ascii="Symbol" w:hAnsi="Symbol" w:hint="default"/>
      </w:rPr>
    </w:lvl>
    <w:lvl w:ilvl="4" w:tplc="041F0003" w:tentative="1">
      <w:start w:val="1"/>
      <w:numFmt w:val="bullet"/>
      <w:lvlText w:val="o"/>
      <w:lvlJc w:val="left"/>
      <w:pPr>
        <w:tabs>
          <w:tab w:val="num" w:pos="4680"/>
        </w:tabs>
        <w:ind w:left="4680" w:hanging="360"/>
      </w:pPr>
      <w:rPr>
        <w:rFonts w:ascii="Courier New" w:hAnsi="Courier New" w:cs="Courier New" w:hint="default"/>
      </w:rPr>
    </w:lvl>
    <w:lvl w:ilvl="5" w:tplc="041F0005" w:tentative="1">
      <w:start w:val="1"/>
      <w:numFmt w:val="bullet"/>
      <w:lvlText w:val=""/>
      <w:lvlJc w:val="left"/>
      <w:pPr>
        <w:tabs>
          <w:tab w:val="num" w:pos="5400"/>
        </w:tabs>
        <w:ind w:left="5400" w:hanging="360"/>
      </w:pPr>
      <w:rPr>
        <w:rFonts w:ascii="Wingdings" w:hAnsi="Wingdings" w:hint="default"/>
      </w:rPr>
    </w:lvl>
    <w:lvl w:ilvl="6" w:tplc="041F0001" w:tentative="1">
      <w:start w:val="1"/>
      <w:numFmt w:val="bullet"/>
      <w:lvlText w:val=""/>
      <w:lvlJc w:val="left"/>
      <w:pPr>
        <w:tabs>
          <w:tab w:val="num" w:pos="6120"/>
        </w:tabs>
        <w:ind w:left="6120" w:hanging="360"/>
      </w:pPr>
      <w:rPr>
        <w:rFonts w:ascii="Symbol" w:hAnsi="Symbol" w:hint="default"/>
      </w:rPr>
    </w:lvl>
    <w:lvl w:ilvl="7" w:tplc="041F0003" w:tentative="1">
      <w:start w:val="1"/>
      <w:numFmt w:val="bullet"/>
      <w:lvlText w:val="o"/>
      <w:lvlJc w:val="left"/>
      <w:pPr>
        <w:tabs>
          <w:tab w:val="num" w:pos="6840"/>
        </w:tabs>
        <w:ind w:left="6840" w:hanging="360"/>
      </w:pPr>
      <w:rPr>
        <w:rFonts w:ascii="Courier New" w:hAnsi="Courier New" w:cs="Courier New" w:hint="default"/>
      </w:rPr>
    </w:lvl>
    <w:lvl w:ilvl="8" w:tplc="041F0005" w:tentative="1">
      <w:start w:val="1"/>
      <w:numFmt w:val="bullet"/>
      <w:lvlText w:val=""/>
      <w:lvlJc w:val="left"/>
      <w:pPr>
        <w:tabs>
          <w:tab w:val="num" w:pos="7560"/>
        </w:tabs>
        <w:ind w:left="7560" w:hanging="360"/>
      </w:pPr>
      <w:rPr>
        <w:rFonts w:ascii="Wingdings" w:hAnsi="Wingdings" w:hint="default"/>
      </w:rPr>
    </w:lvl>
  </w:abstractNum>
  <w:abstractNum w:abstractNumId="16">
    <w:nsid w:val="7163337A"/>
    <w:multiLevelType w:val="hybridMultilevel"/>
    <w:tmpl w:val="61A45D54"/>
    <w:lvl w:ilvl="0" w:tplc="041F0005">
      <w:start w:val="1"/>
      <w:numFmt w:val="bullet"/>
      <w:lvlText w:val=""/>
      <w:lvlJc w:val="left"/>
      <w:pPr>
        <w:tabs>
          <w:tab w:val="num" w:pos="720"/>
        </w:tabs>
        <w:ind w:left="720" w:hanging="360"/>
      </w:pPr>
      <w:rPr>
        <w:rFonts w:ascii="Wingdings" w:hAnsi="Wingdings" w:hint="default"/>
      </w:rPr>
    </w:lvl>
    <w:lvl w:ilvl="1" w:tplc="041F0003">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7">
    <w:nsid w:val="7392777C"/>
    <w:multiLevelType w:val="hybridMultilevel"/>
    <w:tmpl w:val="810ABCC6"/>
    <w:lvl w:ilvl="0" w:tplc="3CAE5EB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2"/>
    <w:lvlOverride w:ilvl="0">
      <w:lvl w:ilvl="0">
        <w:start w:val="1"/>
        <w:numFmt w:val="lowerLetter"/>
        <w:lvlText w:val="%1) "/>
        <w:legacy w:legacy="1" w:legacySpace="0" w:legacyIndent="360"/>
        <w:lvlJc w:val="left"/>
        <w:pPr>
          <w:ind w:left="930" w:hanging="360"/>
        </w:pPr>
        <w:rPr>
          <w:rFonts w:ascii="Times New Roman" w:hAnsi="Times New Roman" w:hint="default"/>
          <w:b w:val="0"/>
          <w:i w:val="0"/>
          <w:sz w:val="18"/>
          <w:u w:val="none"/>
        </w:rPr>
      </w:lvl>
    </w:lvlOverride>
  </w:num>
  <w:num w:numId="3">
    <w:abstractNumId w:val="12"/>
    <w:lvlOverride w:ilvl="0">
      <w:lvl w:ilvl="0">
        <w:start w:val="1"/>
        <w:numFmt w:val="lowerLetter"/>
        <w:lvlText w:val="%1) "/>
        <w:legacy w:legacy="1" w:legacySpace="0" w:legacyIndent="360"/>
        <w:lvlJc w:val="left"/>
        <w:pPr>
          <w:ind w:left="930" w:hanging="360"/>
        </w:pPr>
        <w:rPr>
          <w:rFonts w:ascii="Times New Roman" w:hAnsi="Times New Roman" w:hint="default"/>
          <w:b w:val="0"/>
          <w:i w:val="0"/>
          <w:sz w:val="18"/>
          <w:u w:val="none"/>
        </w:rPr>
      </w:lvl>
    </w:lvlOverride>
  </w:num>
  <w:num w:numId="4">
    <w:abstractNumId w:val="3"/>
  </w:num>
  <w:num w:numId="5">
    <w:abstractNumId w:val="10"/>
  </w:num>
  <w:num w:numId="6">
    <w:abstractNumId w:val="0"/>
  </w:num>
  <w:num w:numId="7">
    <w:abstractNumId w:val="4"/>
  </w:num>
  <w:num w:numId="8">
    <w:abstractNumId w:val="7"/>
  </w:num>
  <w:num w:numId="9">
    <w:abstractNumId w:val="6"/>
    <w:lvlOverride w:ilvl="0">
      <w:lvl w:ilvl="0">
        <w:start w:val="1"/>
        <w:numFmt w:val="decimal"/>
        <w:lvlText w:val="12.%1. "/>
        <w:legacy w:legacy="1" w:legacySpace="0" w:legacyIndent="283"/>
        <w:lvlJc w:val="left"/>
        <w:pPr>
          <w:ind w:left="643" w:hanging="283"/>
        </w:pPr>
        <w:rPr>
          <w:b w:val="0"/>
          <w:i w:val="0"/>
          <w:sz w:val="20"/>
        </w:rPr>
      </w:lvl>
    </w:lvlOverride>
  </w:num>
  <w:num w:numId="10">
    <w:abstractNumId w:val="9"/>
  </w:num>
  <w:num w:numId="11">
    <w:abstractNumId w:val="2"/>
  </w:num>
  <w:num w:numId="12">
    <w:abstractNumId w:val="11"/>
  </w:num>
  <w:num w:numId="13">
    <w:abstractNumId w:val="8"/>
  </w:num>
  <w:num w:numId="14">
    <w:abstractNumId w:val="17"/>
  </w:num>
  <w:num w:numId="15">
    <w:abstractNumId w:val="14"/>
  </w:num>
  <w:num w:numId="16">
    <w:abstractNumId w:val="13"/>
  </w:num>
  <w:num w:numId="17">
    <w:abstractNumId w:val="15"/>
  </w:num>
  <w:num w:numId="18">
    <w:abstractNumId w:val="16"/>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3DC"/>
    <w:rsid w:val="000001A3"/>
    <w:rsid w:val="00000CF8"/>
    <w:rsid w:val="0000136F"/>
    <w:rsid w:val="000038E8"/>
    <w:rsid w:val="00003BAE"/>
    <w:rsid w:val="00011AF0"/>
    <w:rsid w:val="00014F45"/>
    <w:rsid w:val="00014F9C"/>
    <w:rsid w:val="00015753"/>
    <w:rsid w:val="000227CD"/>
    <w:rsid w:val="00026ADC"/>
    <w:rsid w:val="00027776"/>
    <w:rsid w:val="000337DF"/>
    <w:rsid w:val="00036F7B"/>
    <w:rsid w:val="0003769D"/>
    <w:rsid w:val="00037EEB"/>
    <w:rsid w:val="00041A2D"/>
    <w:rsid w:val="000440C9"/>
    <w:rsid w:val="00044BE6"/>
    <w:rsid w:val="00046CD9"/>
    <w:rsid w:val="00047444"/>
    <w:rsid w:val="00047AA4"/>
    <w:rsid w:val="00055AA7"/>
    <w:rsid w:val="00060719"/>
    <w:rsid w:val="000616EE"/>
    <w:rsid w:val="00065434"/>
    <w:rsid w:val="0006798C"/>
    <w:rsid w:val="00071960"/>
    <w:rsid w:val="00075E22"/>
    <w:rsid w:val="00076848"/>
    <w:rsid w:val="000810D4"/>
    <w:rsid w:val="0009578B"/>
    <w:rsid w:val="00097F13"/>
    <w:rsid w:val="000A0478"/>
    <w:rsid w:val="000A182A"/>
    <w:rsid w:val="000A1E95"/>
    <w:rsid w:val="000A2F8B"/>
    <w:rsid w:val="000A7C01"/>
    <w:rsid w:val="000B18DB"/>
    <w:rsid w:val="000B1CF8"/>
    <w:rsid w:val="000B5CF5"/>
    <w:rsid w:val="000B6059"/>
    <w:rsid w:val="000C3834"/>
    <w:rsid w:val="000C5168"/>
    <w:rsid w:val="000C5CD1"/>
    <w:rsid w:val="000C691F"/>
    <w:rsid w:val="000D139F"/>
    <w:rsid w:val="000D1BA7"/>
    <w:rsid w:val="000D51D5"/>
    <w:rsid w:val="000D55C8"/>
    <w:rsid w:val="000D65A0"/>
    <w:rsid w:val="000E2A5A"/>
    <w:rsid w:val="000E3C95"/>
    <w:rsid w:val="000F2804"/>
    <w:rsid w:val="000F2EBF"/>
    <w:rsid w:val="00106D2E"/>
    <w:rsid w:val="00111EA8"/>
    <w:rsid w:val="00116480"/>
    <w:rsid w:val="001173B5"/>
    <w:rsid w:val="00123F86"/>
    <w:rsid w:val="00124EE6"/>
    <w:rsid w:val="0012510E"/>
    <w:rsid w:val="00130E5F"/>
    <w:rsid w:val="00131C33"/>
    <w:rsid w:val="001326F3"/>
    <w:rsid w:val="00137954"/>
    <w:rsid w:val="00141E22"/>
    <w:rsid w:val="00142253"/>
    <w:rsid w:val="001423A8"/>
    <w:rsid w:val="001434F6"/>
    <w:rsid w:val="0015051F"/>
    <w:rsid w:val="00152295"/>
    <w:rsid w:val="00152E89"/>
    <w:rsid w:val="00153962"/>
    <w:rsid w:val="00154502"/>
    <w:rsid w:val="0016000F"/>
    <w:rsid w:val="00163B45"/>
    <w:rsid w:val="001655A1"/>
    <w:rsid w:val="00166F48"/>
    <w:rsid w:val="001703BA"/>
    <w:rsid w:val="00173D77"/>
    <w:rsid w:val="00187C2D"/>
    <w:rsid w:val="001907E3"/>
    <w:rsid w:val="00192142"/>
    <w:rsid w:val="00196CD8"/>
    <w:rsid w:val="001B7073"/>
    <w:rsid w:val="001C08A6"/>
    <w:rsid w:val="001C115F"/>
    <w:rsid w:val="001C3E76"/>
    <w:rsid w:val="001D327D"/>
    <w:rsid w:val="001D4BCE"/>
    <w:rsid w:val="001E190C"/>
    <w:rsid w:val="001E334A"/>
    <w:rsid w:val="001E7918"/>
    <w:rsid w:val="001F0471"/>
    <w:rsid w:val="001F7E92"/>
    <w:rsid w:val="00200373"/>
    <w:rsid w:val="00200544"/>
    <w:rsid w:val="002047F4"/>
    <w:rsid w:val="002059C7"/>
    <w:rsid w:val="00205BFF"/>
    <w:rsid w:val="00207F9E"/>
    <w:rsid w:val="00212B7F"/>
    <w:rsid w:val="00224448"/>
    <w:rsid w:val="00226498"/>
    <w:rsid w:val="00230F75"/>
    <w:rsid w:val="002474D5"/>
    <w:rsid w:val="002476C3"/>
    <w:rsid w:val="00254948"/>
    <w:rsid w:val="0026090B"/>
    <w:rsid w:val="002626CE"/>
    <w:rsid w:val="0026315E"/>
    <w:rsid w:val="00264B88"/>
    <w:rsid w:val="002701A4"/>
    <w:rsid w:val="002734FA"/>
    <w:rsid w:val="00275CD0"/>
    <w:rsid w:val="00281013"/>
    <w:rsid w:val="002823E2"/>
    <w:rsid w:val="00282758"/>
    <w:rsid w:val="00284E44"/>
    <w:rsid w:val="002860EA"/>
    <w:rsid w:val="002861DF"/>
    <w:rsid w:val="002862F5"/>
    <w:rsid w:val="00294C15"/>
    <w:rsid w:val="00294DBD"/>
    <w:rsid w:val="0029685F"/>
    <w:rsid w:val="00297610"/>
    <w:rsid w:val="002A0730"/>
    <w:rsid w:val="002A2E01"/>
    <w:rsid w:val="002A7C61"/>
    <w:rsid w:val="002B14D0"/>
    <w:rsid w:val="002B1F7D"/>
    <w:rsid w:val="002B6234"/>
    <w:rsid w:val="002B79EF"/>
    <w:rsid w:val="002C012D"/>
    <w:rsid w:val="002C022B"/>
    <w:rsid w:val="002C1275"/>
    <w:rsid w:val="002C3A76"/>
    <w:rsid w:val="002C3DC3"/>
    <w:rsid w:val="002C6317"/>
    <w:rsid w:val="002C6F1E"/>
    <w:rsid w:val="002C74ED"/>
    <w:rsid w:val="002D1F8B"/>
    <w:rsid w:val="002D2DE1"/>
    <w:rsid w:val="002D3147"/>
    <w:rsid w:val="002D5451"/>
    <w:rsid w:val="002D551A"/>
    <w:rsid w:val="002D738D"/>
    <w:rsid w:val="002D7C6F"/>
    <w:rsid w:val="002E0E2A"/>
    <w:rsid w:val="002E30C4"/>
    <w:rsid w:val="002E477D"/>
    <w:rsid w:val="002E4BC9"/>
    <w:rsid w:val="002E7FEE"/>
    <w:rsid w:val="002F145D"/>
    <w:rsid w:val="002F2D34"/>
    <w:rsid w:val="002F34DC"/>
    <w:rsid w:val="002F3FB2"/>
    <w:rsid w:val="002F5AF0"/>
    <w:rsid w:val="003076D6"/>
    <w:rsid w:val="00310535"/>
    <w:rsid w:val="00323297"/>
    <w:rsid w:val="00323FA6"/>
    <w:rsid w:val="00327ABC"/>
    <w:rsid w:val="0033111D"/>
    <w:rsid w:val="0033419D"/>
    <w:rsid w:val="00340D4A"/>
    <w:rsid w:val="00344E63"/>
    <w:rsid w:val="00350AB6"/>
    <w:rsid w:val="00351F2C"/>
    <w:rsid w:val="003561A2"/>
    <w:rsid w:val="003571D6"/>
    <w:rsid w:val="00357AB6"/>
    <w:rsid w:val="0036019C"/>
    <w:rsid w:val="00360B89"/>
    <w:rsid w:val="00362A65"/>
    <w:rsid w:val="00363609"/>
    <w:rsid w:val="00367D0C"/>
    <w:rsid w:val="00370357"/>
    <w:rsid w:val="00373155"/>
    <w:rsid w:val="00373B84"/>
    <w:rsid w:val="003804A6"/>
    <w:rsid w:val="003855A9"/>
    <w:rsid w:val="00392A2F"/>
    <w:rsid w:val="00392F11"/>
    <w:rsid w:val="003961AC"/>
    <w:rsid w:val="003966CB"/>
    <w:rsid w:val="003A097D"/>
    <w:rsid w:val="003A3FC1"/>
    <w:rsid w:val="003C2E0D"/>
    <w:rsid w:val="003C36D3"/>
    <w:rsid w:val="003C4B7A"/>
    <w:rsid w:val="003E4E1B"/>
    <w:rsid w:val="003E5BEC"/>
    <w:rsid w:val="003E6F73"/>
    <w:rsid w:val="003F0073"/>
    <w:rsid w:val="003F4F46"/>
    <w:rsid w:val="003F6E43"/>
    <w:rsid w:val="00403669"/>
    <w:rsid w:val="0040523F"/>
    <w:rsid w:val="00407AC0"/>
    <w:rsid w:val="00410CCE"/>
    <w:rsid w:val="0041411C"/>
    <w:rsid w:val="004166C4"/>
    <w:rsid w:val="0041791F"/>
    <w:rsid w:val="00420780"/>
    <w:rsid w:val="00423944"/>
    <w:rsid w:val="004274F7"/>
    <w:rsid w:val="004306D6"/>
    <w:rsid w:val="00431469"/>
    <w:rsid w:val="00435AE8"/>
    <w:rsid w:val="00435C60"/>
    <w:rsid w:val="00437860"/>
    <w:rsid w:val="004414B7"/>
    <w:rsid w:val="00444034"/>
    <w:rsid w:val="004449BA"/>
    <w:rsid w:val="00444A5F"/>
    <w:rsid w:val="0044588F"/>
    <w:rsid w:val="00447875"/>
    <w:rsid w:val="0045145A"/>
    <w:rsid w:val="0045148E"/>
    <w:rsid w:val="00452BE8"/>
    <w:rsid w:val="00454C36"/>
    <w:rsid w:val="00455481"/>
    <w:rsid w:val="00460F29"/>
    <w:rsid w:val="00464B92"/>
    <w:rsid w:val="00466807"/>
    <w:rsid w:val="004668A7"/>
    <w:rsid w:val="00470E9B"/>
    <w:rsid w:val="004767E0"/>
    <w:rsid w:val="004862A4"/>
    <w:rsid w:val="00486CE8"/>
    <w:rsid w:val="00492A5A"/>
    <w:rsid w:val="00494E6A"/>
    <w:rsid w:val="004A26A6"/>
    <w:rsid w:val="004A2931"/>
    <w:rsid w:val="004B14C4"/>
    <w:rsid w:val="004B2359"/>
    <w:rsid w:val="004B6531"/>
    <w:rsid w:val="004C1B67"/>
    <w:rsid w:val="004C1C80"/>
    <w:rsid w:val="004C2F6F"/>
    <w:rsid w:val="004C7EC9"/>
    <w:rsid w:val="004D29E4"/>
    <w:rsid w:val="004D4798"/>
    <w:rsid w:val="004E2117"/>
    <w:rsid w:val="004E4929"/>
    <w:rsid w:val="004E77B1"/>
    <w:rsid w:val="004F1DF9"/>
    <w:rsid w:val="004F533E"/>
    <w:rsid w:val="00503085"/>
    <w:rsid w:val="00504B3D"/>
    <w:rsid w:val="00505528"/>
    <w:rsid w:val="00506B13"/>
    <w:rsid w:val="00510518"/>
    <w:rsid w:val="00511D1A"/>
    <w:rsid w:val="005122D9"/>
    <w:rsid w:val="005126C1"/>
    <w:rsid w:val="00522F9B"/>
    <w:rsid w:val="00533E6D"/>
    <w:rsid w:val="00535AF7"/>
    <w:rsid w:val="0054249A"/>
    <w:rsid w:val="00544B4B"/>
    <w:rsid w:val="00547BEC"/>
    <w:rsid w:val="00551105"/>
    <w:rsid w:val="00553CD4"/>
    <w:rsid w:val="00554A51"/>
    <w:rsid w:val="00557D46"/>
    <w:rsid w:val="00560F08"/>
    <w:rsid w:val="00561933"/>
    <w:rsid w:val="00562930"/>
    <w:rsid w:val="00564C15"/>
    <w:rsid w:val="00574467"/>
    <w:rsid w:val="00580FAC"/>
    <w:rsid w:val="00582152"/>
    <w:rsid w:val="00586896"/>
    <w:rsid w:val="0059609D"/>
    <w:rsid w:val="0059616F"/>
    <w:rsid w:val="005A0657"/>
    <w:rsid w:val="005A1CD5"/>
    <w:rsid w:val="005A2FED"/>
    <w:rsid w:val="005A6C4A"/>
    <w:rsid w:val="005A7659"/>
    <w:rsid w:val="005B20A3"/>
    <w:rsid w:val="005B559B"/>
    <w:rsid w:val="005B6DE3"/>
    <w:rsid w:val="005C55C6"/>
    <w:rsid w:val="005C7422"/>
    <w:rsid w:val="005C7542"/>
    <w:rsid w:val="005D0832"/>
    <w:rsid w:val="005D4777"/>
    <w:rsid w:val="005D5A94"/>
    <w:rsid w:val="005E20D5"/>
    <w:rsid w:val="005F41BF"/>
    <w:rsid w:val="005F4A66"/>
    <w:rsid w:val="005F7D5C"/>
    <w:rsid w:val="00601E7E"/>
    <w:rsid w:val="00606BB4"/>
    <w:rsid w:val="00613B21"/>
    <w:rsid w:val="00613E7D"/>
    <w:rsid w:val="0061655F"/>
    <w:rsid w:val="006168B8"/>
    <w:rsid w:val="0061699C"/>
    <w:rsid w:val="00622A58"/>
    <w:rsid w:val="0062409B"/>
    <w:rsid w:val="00624EBE"/>
    <w:rsid w:val="006258FC"/>
    <w:rsid w:val="00625B9B"/>
    <w:rsid w:val="0062780C"/>
    <w:rsid w:val="00627959"/>
    <w:rsid w:val="00631708"/>
    <w:rsid w:val="006334A1"/>
    <w:rsid w:val="00640864"/>
    <w:rsid w:val="00643C9F"/>
    <w:rsid w:val="00644452"/>
    <w:rsid w:val="006451AD"/>
    <w:rsid w:val="00646329"/>
    <w:rsid w:val="00646FB4"/>
    <w:rsid w:val="00647459"/>
    <w:rsid w:val="0064771F"/>
    <w:rsid w:val="0064773C"/>
    <w:rsid w:val="00651DB1"/>
    <w:rsid w:val="0065357F"/>
    <w:rsid w:val="00654368"/>
    <w:rsid w:val="00654454"/>
    <w:rsid w:val="0065506C"/>
    <w:rsid w:val="006634DB"/>
    <w:rsid w:val="0066362F"/>
    <w:rsid w:val="006653FE"/>
    <w:rsid w:val="006700CA"/>
    <w:rsid w:val="00671D81"/>
    <w:rsid w:val="006726A8"/>
    <w:rsid w:val="006755A1"/>
    <w:rsid w:val="0067782A"/>
    <w:rsid w:val="00681718"/>
    <w:rsid w:val="00682467"/>
    <w:rsid w:val="00682A0A"/>
    <w:rsid w:val="00682FD4"/>
    <w:rsid w:val="00684B07"/>
    <w:rsid w:val="006873D7"/>
    <w:rsid w:val="006940D3"/>
    <w:rsid w:val="006A1128"/>
    <w:rsid w:val="006A16EA"/>
    <w:rsid w:val="006A202C"/>
    <w:rsid w:val="006A5743"/>
    <w:rsid w:val="006B1460"/>
    <w:rsid w:val="006B5716"/>
    <w:rsid w:val="006C28B2"/>
    <w:rsid w:val="006C2FF8"/>
    <w:rsid w:val="006C3A22"/>
    <w:rsid w:val="006C7714"/>
    <w:rsid w:val="006D20FA"/>
    <w:rsid w:val="006D2AB3"/>
    <w:rsid w:val="006D4C1D"/>
    <w:rsid w:val="006D4F01"/>
    <w:rsid w:val="006D5B44"/>
    <w:rsid w:val="006D5ECD"/>
    <w:rsid w:val="006D7B85"/>
    <w:rsid w:val="006D7D03"/>
    <w:rsid w:val="006E68C5"/>
    <w:rsid w:val="006F11D6"/>
    <w:rsid w:val="006F5419"/>
    <w:rsid w:val="006F5796"/>
    <w:rsid w:val="007134E5"/>
    <w:rsid w:val="00722116"/>
    <w:rsid w:val="00734005"/>
    <w:rsid w:val="007349B0"/>
    <w:rsid w:val="00734BA5"/>
    <w:rsid w:val="00741107"/>
    <w:rsid w:val="00746226"/>
    <w:rsid w:val="00746FBD"/>
    <w:rsid w:val="00750D66"/>
    <w:rsid w:val="00753905"/>
    <w:rsid w:val="007552FF"/>
    <w:rsid w:val="0075707A"/>
    <w:rsid w:val="00765AF0"/>
    <w:rsid w:val="0077093F"/>
    <w:rsid w:val="007718B1"/>
    <w:rsid w:val="00773440"/>
    <w:rsid w:val="00780685"/>
    <w:rsid w:val="00783488"/>
    <w:rsid w:val="0078399F"/>
    <w:rsid w:val="007859DA"/>
    <w:rsid w:val="00785E4C"/>
    <w:rsid w:val="00791A6F"/>
    <w:rsid w:val="0079463F"/>
    <w:rsid w:val="00795B1E"/>
    <w:rsid w:val="007C0C29"/>
    <w:rsid w:val="007C1205"/>
    <w:rsid w:val="007C1794"/>
    <w:rsid w:val="007C2B21"/>
    <w:rsid w:val="007C4877"/>
    <w:rsid w:val="007C52CE"/>
    <w:rsid w:val="007D56DF"/>
    <w:rsid w:val="007D5A89"/>
    <w:rsid w:val="007E1B75"/>
    <w:rsid w:val="007E2BFB"/>
    <w:rsid w:val="007E4D77"/>
    <w:rsid w:val="007E5072"/>
    <w:rsid w:val="007F03A9"/>
    <w:rsid w:val="007F0C7F"/>
    <w:rsid w:val="007F23DC"/>
    <w:rsid w:val="007F401D"/>
    <w:rsid w:val="007F4DCB"/>
    <w:rsid w:val="007F5709"/>
    <w:rsid w:val="007F7549"/>
    <w:rsid w:val="00800CCF"/>
    <w:rsid w:val="00800DF5"/>
    <w:rsid w:val="00801AEC"/>
    <w:rsid w:val="008053A0"/>
    <w:rsid w:val="0080625B"/>
    <w:rsid w:val="00806F1B"/>
    <w:rsid w:val="0081025D"/>
    <w:rsid w:val="008109B9"/>
    <w:rsid w:val="008139C4"/>
    <w:rsid w:val="0081448C"/>
    <w:rsid w:val="00823EFB"/>
    <w:rsid w:val="0082580C"/>
    <w:rsid w:val="00826A00"/>
    <w:rsid w:val="00834843"/>
    <w:rsid w:val="00834973"/>
    <w:rsid w:val="00837382"/>
    <w:rsid w:val="008406E8"/>
    <w:rsid w:val="00841FAC"/>
    <w:rsid w:val="00846054"/>
    <w:rsid w:val="008507D7"/>
    <w:rsid w:val="00856434"/>
    <w:rsid w:val="00860611"/>
    <w:rsid w:val="00862156"/>
    <w:rsid w:val="00867B5B"/>
    <w:rsid w:val="00876229"/>
    <w:rsid w:val="00877656"/>
    <w:rsid w:val="008829B1"/>
    <w:rsid w:val="00884828"/>
    <w:rsid w:val="00892565"/>
    <w:rsid w:val="0089312E"/>
    <w:rsid w:val="00893BAA"/>
    <w:rsid w:val="008A153D"/>
    <w:rsid w:val="008A4183"/>
    <w:rsid w:val="008A56E4"/>
    <w:rsid w:val="008A5B49"/>
    <w:rsid w:val="008A5FDC"/>
    <w:rsid w:val="008B055B"/>
    <w:rsid w:val="008B1265"/>
    <w:rsid w:val="008B43C6"/>
    <w:rsid w:val="008B6330"/>
    <w:rsid w:val="008C5037"/>
    <w:rsid w:val="008D4D49"/>
    <w:rsid w:val="008D55EB"/>
    <w:rsid w:val="008D6051"/>
    <w:rsid w:val="008D68C8"/>
    <w:rsid w:val="008E6CEB"/>
    <w:rsid w:val="008F4D49"/>
    <w:rsid w:val="008F6603"/>
    <w:rsid w:val="00902129"/>
    <w:rsid w:val="009124BA"/>
    <w:rsid w:val="00917693"/>
    <w:rsid w:val="00920D22"/>
    <w:rsid w:val="009256FA"/>
    <w:rsid w:val="00927818"/>
    <w:rsid w:val="00930BAD"/>
    <w:rsid w:val="00930D83"/>
    <w:rsid w:val="0094158D"/>
    <w:rsid w:val="0094286A"/>
    <w:rsid w:val="00947B6C"/>
    <w:rsid w:val="009523DD"/>
    <w:rsid w:val="00957440"/>
    <w:rsid w:val="009617DB"/>
    <w:rsid w:val="00963C76"/>
    <w:rsid w:val="00967AC2"/>
    <w:rsid w:val="00970AD4"/>
    <w:rsid w:val="0097114A"/>
    <w:rsid w:val="009756F9"/>
    <w:rsid w:val="009814D7"/>
    <w:rsid w:val="009832EE"/>
    <w:rsid w:val="0098549B"/>
    <w:rsid w:val="00992601"/>
    <w:rsid w:val="009932B6"/>
    <w:rsid w:val="009943DA"/>
    <w:rsid w:val="00997187"/>
    <w:rsid w:val="009A6B69"/>
    <w:rsid w:val="009B29AD"/>
    <w:rsid w:val="009B2D93"/>
    <w:rsid w:val="009B380A"/>
    <w:rsid w:val="009C0345"/>
    <w:rsid w:val="009C059B"/>
    <w:rsid w:val="009C485B"/>
    <w:rsid w:val="009D52C8"/>
    <w:rsid w:val="009D7D83"/>
    <w:rsid w:val="009E2519"/>
    <w:rsid w:val="009F4141"/>
    <w:rsid w:val="009F4C2D"/>
    <w:rsid w:val="009F5E3F"/>
    <w:rsid w:val="00A139E0"/>
    <w:rsid w:val="00A217A8"/>
    <w:rsid w:val="00A223CA"/>
    <w:rsid w:val="00A3508C"/>
    <w:rsid w:val="00A35816"/>
    <w:rsid w:val="00A3596D"/>
    <w:rsid w:val="00A35C87"/>
    <w:rsid w:val="00A36D35"/>
    <w:rsid w:val="00A40B90"/>
    <w:rsid w:val="00A41779"/>
    <w:rsid w:val="00A46852"/>
    <w:rsid w:val="00A542C8"/>
    <w:rsid w:val="00A546C7"/>
    <w:rsid w:val="00A551B9"/>
    <w:rsid w:val="00A60529"/>
    <w:rsid w:val="00A60979"/>
    <w:rsid w:val="00A610E7"/>
    <w:rsid w:val="00A65C96"/>
    <w:rsid w:val="00A66683"/>
    <w:rsid w:val="00A70688"/>
    <w:rsid w:val="00A72A2E"/>
    <w:rsid w:val="00A74326"/>
    <w:rsid w:val="00A82C4D"/>
    <w:rsid w:val="00A84AC4"/>
    <w:rsid w:val="00A857CB"/>
    <w:rsid w:val="00A91A79"/>
    <w:rsid w:val="00A92A8F"/>
    <w:rsid w:val="00A934EB"/>
    <w:rsid w:val="00A95DC3"/>
    <w:rsid w:val="00AA7C98"/>
    <w:rsid w:val="00AB3036"/>
    <w:rsid w:val="00AB627C"/>
    <w:rsid w:val="00AB6A6C"/>
    <w:rsid w:val="00AC26E3"/>
    <w:rsid w:val="00AC484C"/>
    <w:rsid w:val="00AC49E8"/>
    <w:rsid w:val="00AC6BCB"/>
    <w:rsid w:val="00AD1FEE"/>
    <w:rsid w:val="00AD275F"/>
    <w:rsid w:val="00AD7F70"/>
    <w:rsid w:val="00AE60F7"/>
    <w:rsid w:val="00AF544B"/>
    <w:rsid w:val="00AF6885"/>
    <w:rsid w:val="00AF735E"/>
    <w:rsid w:val="00AF75A3"/>
    <w:rsid w:val="00B00E17"/>
    <w:rsid w:val="00B01FA8"/>
    <w:rsid w:val="00B077A2"/>
    <w:rsid w:val="00B10DC1"/>
    <w:rsid w:val="00B1195B"/>
    <w:rsid w:val="00B132D9"/>
    <w:rsid w:val="00B13F80"/>
    <w:rsid w:val="00B162A6"/>
    <w:rsid w:val="00B17879"/>
    <w:rsid w:val="00B241A8"/>
    <w:rsid w:val="00B27A07"/>
    <w:rsid w:val="00B32755"/>
    <w:rsid w:val="00B33514"/>
    <w:rsid w:val="00B357E5"/>
    <w:rsid w:val="00B378E5"/>
    <w:rsid w:val="00B37E6C"/>
    <w:rsid w:val="00B4046B"/>
    <w:rsid w:val="00B50B1E"/>
    <w:rsid w:val="00B672E1"/>
    <w:rsid w:val="00B840C5"/>
    <w:rsid w:val="00B86A08"/>
    <w:rsid w:val="00B95534"/>
    <w:rsid w:val="00BA0B26"/>
    <w:rsid w:val="00BA27AB"/>
    <w:rsid w:val="00BA4E06"/>
    <w:rsid w:val="00BA5020"/>
    <w:rsid w:val="00BA5933"/>
    <w:rsid w:val="00BA714E"/>
    <w:rsid w:val="00BA7BB5"/>
    <w:rsid w:val="00BB09BD"/>
    <w:rsid w:val="00BB35D8"/>
    <w:rsid w:val="00BB57D9"/>
    <w:rsid w:val="00BC6433"/>
    <w:rsid w:val="00BC72A4"/>
    <w:rsid w:val="00BC77F6"/>
    <w:rsid w:val="00BD19C2"/>
    <w:rsid w:val="00BD463C"/>
    <w:rsid w:val="00BD587E"/>
    <w:rsid w:val="00BD7BBA"/>
    <w:rsid w:val="00BE44DF"/>
    <w:rsid w:val="00BE4D4E"/>
    <w:rsid w:val="00BE514E"/>
    <w:rsid w:val="00BE73BD"/>
    <w:rsid w:val="00BF062E"/>
    <w:rsid w:val="00BF234F"/>
    <w:rsid w:val="00BF5D57"/>
    <w:rsid w:val="00C000F2"/>
    <w:rsid w:val="00C05B8A"/>
    <w:rsid w:val="00C077F0"/>
    <w:rsid w:val="00C133DC"/>
    <w:rsid w:val="00C13D21"/>
    <w:rsid w:val="00C21A49"/>
    <w:rsid w:val="00C22F05"/>
    <w:rsid w:val="00C26E0A"/>
    <w:rsid w:val="00C40E1A"/>
    <w:rsid w:val="00C42799"/>
    <w:rsid w:val="00C42856"/>
    <w:rsid w:val="00C43256"/>
    <w:rsid w:val="00C7204E"/>
    <w:rsid w:val="00C75D4C"/>
    <w:rsid w:val="00C7790D"/>
    <w:rsid w:val="00C83ECF"/>
    <w:rsid w:val="00C8491D"/>
    <w:rsid w:val="00C85FF4"/>
    <w:rsid w:val="00C87B1F"/>
    <w:rsid w:val="00C87CCF"/>
    <w:rsid w:val="00C90BF5"/>
    <w:rsid w:val="00C96504"/>
    <w:rsid w:val="00C96D1A"/>
    <w:rsid w:val="00CA0946"/>
    <w:rsid w:val="00CA0F9C"/>
    <w:rsid w:val="00CA72D1"/>
    <w:rsid w:val="00CA74FC"/>
    <w:rsid w:val="00CB0713"/>
    <w:rsid w:val="00CB1A24"/>
    <w:rsid w:val="00CB2C00"/>
    <w:rsid w:val="00CB4B5F"/>
    <w:rsid w:val="00CB5B73"/>
    <w:rsid w:val="00CB675E"/>
    <w:rsid w:val="00CC1B35"/>
    <w:rsid w:val="00CC4F6B"/>
    <w:rsid w:val="00CE006B"/>
    <w:rsid w:val="00CE0357"/>
    <w:rsid w:val="00CE0F53"/>
    <w:rsid w:val="00CE1476"/>
    <w:rsid w:val="00CE1C8B"/>
    <w:rsid w:val="00CE2477"/>
    <w:rsid w:val="00CE5FFA"/>
    <w:rsid w:val="00CF2BAA"/>
    <w:rsid w:val="00CF32F9"/>
    <w:rsid w:val="00CF3AAC"/>
    <w:rsid w:val="00CF744B"/>
    <w:rsid w:val="00CF7FF0"/>
    <w:rsid w:val="00D011FA"/>
    <w:rsid w:val="00D01EFB"/>
    <w:rsid w:val="00D02174"/>
    <w:rsid w:val="00D066D0"/>
    <w:rsid w:val="00D10651"/>
    <w:rsid w:val="00D1309A"/>
    <w:rsid w:val="00D13609"/>
    <w:rsid w:val="00D14D8F"/>
    <w:rsid w:val="00D15460"/>
    <w:rsid w:val="00D221A7"/>
    <w:rsid w:val="00D242FC"/>
    <w:rsid w:val="00D262B3"/>
    <w:rsid w:val="00D3179D"/>
    <w:rsid w:val="00D3258E"/>
    <w:rsid w:val="00D3558A"/>
    <w:rsid w:val="00D36260"/>
    <w:rsid w:val="00D42D60"/>
    <w:rsid w:val="00D54E57"/>
    <w:rsid w:val="00D56890"/>
    <w:rsid w:val="00D56F20"/>
    <w:rsid w:val="00D60AF9"/>
    <w:rsid w:val="00D61001"/>
    <w:rsid w:val="00D63096"/>
    <w:rsid w:val="00D64319"/>
    <w:rsid w:val="00D72509"/>
    <w:rsid w:val="00D74DE1"/>
    <w:rsid w:val="00D74E05"/>
    <w:rsid w:val="00D82C32"/>
    <w:rsid w:val="00D84326"/>
    <w:rsid w:val="00D908A6"/>
    <w:rsid w:val="00D90F33"/>
    <w:rsid w:val="00D97817"/>
    <w:rsid w:val="00DA1740"/>
    <w:rsid w:val="00DA2F3A"/>
    <w:rsid w:val="00DA32C2"/>
    <w:rsid w:val="00DA64C1"/>
    <w:rsid w:val="00DB0A2F"/>
    <w:rsid w:val="00DB0E4C"/>
    <w:rsid w:val="00DC3833"/>
    <w:rsid w:val="00DC4438"/>
    <w:rsid w:val="00DD67F2"/>
    <w:rsid w:val="00DE0D95"/>
    <w:rsid w:val="00DE6911"/>
    <w:rsid w:val="00DE6DAC"/>
    <w:rsid w:val="00DE76C6"/>
    <w:rsid w:val="00DF1170"/>
    <w:rsid w:val="00DF29A2"/>
    <w:rsid w:val="00DF381A"/>
    <w:rsid w:val="00DF3932"/>
    <w:rsid w:val="00DF458E"/>
    <w:rsid w:val="00E028DA"/>
    <w:rsid w:val="00E14FBE"/>
    <w:rsid w:val="00E15B9C"/>
    <w:rsid w:val="00E17C29"/>
    <w:rsid w:val="00E24758"/>
    <w:rsid w:val="00E2490A"/>
    <w:rsid w:val="00E265A5"/>
    <w:rsid w:val="00E27FBF"/>
    <w:rsid w:val="00E32158"/>
    <w:rsid w:val="00E35278"/>
    <w:rsid w:val="00E365E2"/>
    <w:rsid w:val="00E36871"/>
    <w:rsid w:val="00E372CD"/>
    <w:rsid w:val="00E43705"/>
    <w:rsid w:val="00E43F2F"/>
    <w:rsid w:val="00E52F96"/>
    <w:rsid w:val="00E563F4"/>
    <w:rsid w:val="00E65E01"/>
    <w:rsid w:val="00E732B2"/>
    <w:rsid w:val="00E74F39"/>
    <w:rsid w:val="00E75B1B"/>
    <w:rsid w:val="00E80124"/>
    <w:rsid w:val="00E823AF"/>
    <w:rsid w:val="00E8606B"/>
    <w:rsid w:val="00E8630D"/>
    <w:rsid w:val="00E929F8"/>
    <w:rsid w:val="00E93F52"/>
    <w:rsid w:val="00E97746"/>
    <w:rsid w:val="00EA0E99"/>
    <w:rsid w:val="00EA0F48"/>
    <w:rsid w:val="00EA1F31"/>
    <w:rsid w:val="00EA3C27"/>
    <w:rsid w:val="00EA43CE"/>
    <w:rsid w:val="00EB6511"/>
    <w:rsid w:val="00EB7599"/>
    <w:rsid w:val="00EC1288"/>
    <w:rsid w:val="00EC2064"/>
    <w:rsid w:val="00EC2BC0"/>
    <w:rsid w:val="00EC4685"/>
    <w:rsid w:val="00EC6D43"/>
    <w:rsid w:val="00ED073C"/>
    <w:rsid w:val="00ED6A82"/>
    <w:rsid w:val="00EF0902"/>
    <w:rsid w:val="00EF13CA"/>
    <w:rsid w:val="00EF190D"/>
    <w:rsid w:val="00EF25D6"/>
    <w:rsid w:val="00EF2676"/>
    <w:rsid w:val="00EF3598"/>
    <w:rsid w:val="00EF5AB2"/>
    <w:rsid w:val="00EF768E"/>
    <w:rsid w:val="00F045BA"/>
    <w:rsid w:val="00F10B6C"/>
    <w:rsid w:val="00F116D1"/>
    <w:rsid w:val="00F14046"/>
    <w:rsid w:val="00F153F7"/>
    <w:rsid w:val="00F165B0"/>
    <w:rsid w:val="00F275CD"/>
    <w:rsid w:val="00F27E63"/>
    <w:rsid w:val="00F30218"/>
    <w:rsid w:val="00F375C1"/>
    <w:rsid w:val="00F4197F"/>
    <w:rsid w:val="00F46860"/>
    <w:rsid w:val="00F5028C"/>
    <w:rsid w:val="00F64FFB"/>
    <w:rsid w:val="00F65451"/>
    <w:rsid w:val="00F67F5F"/>
    <w:rsid w:val="00F70608"/>
    <w:rsid w:val="00F74B6D"/>
    <w:rsid w:val="00F828E4"/>
    <w:rsid w:val="00F85859"/>
    <w:rsid w:val="00F91A82"/>
    <w:rsid w:val="00F9215F"/>
    <w:rsid w:val="00F94CA1"/>
    <w:rsid w:val="00F962B8"/>
    <w:rsid w:val="00F97230"/>
    <w:rsid w:val="00FA1462"/>
    <w:rsid w:val="00FA1FC0"/>
    <w:rsid w:val="00FA339D"/>
    <w:rsid w:val="00FA47B0"/>
    <w:rsid w:val="00FB34A3"/>
    <w:rsid w:val="00FB567E"/>
    <w:rsid w:val="00FC3D08"/>
    <w:rsid w:val="00FC7601"/>
    <w:rsid w:val="00FD3935"/>
    <w:rsid w:val="00FE471C"/>
    <w:rsid w:val="00FE4F1E"/>
    <w:rsid w:val="00FF0777"/>
    <w:rsid w:val="00FF0804"/>
    <w:rsid w:val="00FF5296"/>
    <w:rsid w:val="00FF670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059"/>
    <w:rPr>
      <w:lang w:eastAsia="en-US"/>
    </w:rPr>
  </w:style>
  <w:style w:type="paragraph" w:styleId="Heading1">
    <w:name w:val="heading 1"/>
    <w:basedOn w:val="Normal"/>
    <w:next w:val="Normal"/>
    <w:qFormat/>
    <w:pPr>
      <w:keepNext/>
      <w:outlineLvl w:val="0"/>
    </w:pPr>
    <w:rPr>
      <w:rFonts w:ascii="Arial" w:hAnsi="Arial"/>
      <w:sz w:val="24"/>
    </w:rPr>
  </w:style>
  <w:style w:type="paragraph" w:styleId="Heading3">
    <w:name w:val="heading 3"/>
    <w:basedOn w:val="Normal"/>
    <w:next w:val="Normal"/>
    <w:qFormat/>
    <w:pPr>
      <w:keepNext/>
      <w:ind w:left="426"/>
      <w:jc w:val="both"/>
      <w:outlineLvl w:val="2"/>
    </w:pPr>
    <w:rPr>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703"/>
        <w:tab w:val="right" w:pos="9406"/>
      </w:tabs>
    </w:pPr>
  </w:style>
  <w:style w:type="character" w:styleId="PageNumber">
    <w:name w:val="page number"/>
    <w:basedOn w:val="DefaultParagraphFont"/>
  </w:style>
  <w:style w:type="paragraph" w:styleId="BodyText">
    <w:name w:val="Body Text"/>
    <w:basedOn w:val="Normal"/>
    <w:pPr>
      <w:jc w:val="both"/>
    </w:pPr>
    <w:rPr>
      <w:sz w:val="24"/>
    </w:rPr>
  </w:style>
  <w:style w:type="paragraph" w:styleId="List2">
    <w:name w:val="List 2"/>
    <w:basedOn w:val="Normal"/>
    <w:pPr>
      <w:ind w:left="720" w:hanging="360"/>
    </w:p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character" w:styleId="CommentReference">
    <w:name w:val="annotation reference"/>
    <w:basedOn w:val="DefaultParagraphFont"/>
    <w:semiHidden/>
    <w:rPr>
      <w:sz w:val="16"/>
    </w:rPr>
  </w:style>
  <w:style w:type="paragraph" w:styleId="CommentText">
    <w:name w:val="annotation text"/>
    <w:basedOn w:val="Normal"/>
    <w:semiHidden/>
  </w:style>
  <w:style w:type="paragraph" w:styleId="BodyText2">
    <w:name w:val="Body Text 2"/>
    <w:basedOn w:val="Normal"/>
    <w:rPr>
      <w:rFonts w:ascii="Arial" w:hAnsi="Arial"/>
      <w:sz w:val="24"/>
    </w:rPr>
  </w:style>
  <w:style w:type="paragraph" w:styleId="BodyText3">
    <w:name w:val="Body Text 3"/>
    <w:basedOn w:val="Normal"/>
    <w:pPr>
      <w:jc w:val="both"/>
    </w:pPr>
  </w:style>
  <w:style w:type="paragraph" w:styleId="NormalWeb">
    <w:name w:val="Normal (Web)"/>
    <w:basedOn w:val="Normal"/>
    <w:pPr>
      <w:spacing w:before="100" w:after="100"/>
    </w:pPr>
    <w:rPr>
      <w:sz w:val="24"/>
    </w:rPr>
  </w:style>
  <w:style w:type="paragraph" w:styleId="BodyTextIndent">
    <w:name w:val="Body Text Indent"/>
    <w:basedOn w:val="Normal"/>
    <w:pPr>
      <w:spacing w:line="360" w:lineRule="auto"/>
      <w:ind w:right="27" w:firstLine="720"/>
      <w:jc w:val="both"/>
    </w:pPr>
    <w:rPr>
      <w:rFonts w:ascii="Arial" w:hAnsi="Arial"/>
      <w:sz w:val="24"/>
    </w:rPr>
  </w:style>
  <w:style w:type="paragraph" w:styleId="Header">
    <w:name w:val="head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sid w:val="00FA1462"/>
    <w:rPr>
      <w:b/>
      <w:bCs/>
    </w:rPr>
  </w:style>
  <w:style w:type="paragraph" w:styleId="DocumentMap">
    <w:name w:val="Document Map"/>
    <w:basedOn w:val="Normal"/>
    <w:semiHidden/>
    <w:rsid w:val="00F045BA"/>
    <w:pPr>
      <w:shd w:val="clear" w:color="auto" w:fill="000080"/>
    </w:pPr>
    <w:rPr>
      <w:rFonts w:ascii="Tahoma" w:hAnsi="Tahoma" w:cs="Tahoma"/>
    </w:rPr>
  </w:style>
  <w:style w:type="paragraph" w:customStyle="1" w:styleId="CharCharChar">
    <w:name w:val="Char Char Char"/>
    <w:basedOn w:val="Normal"/>
    <w:rsid w:val="001C08A6"/>
    <w:rPr>
      <w:lang w:val="en-US"/>
    </w:rPr>
  </w:style>
  <w:style w:type="paragraph" w:customStyle="1" w:styleId="CharChar1">
    <w:name w:val="Char Char1"/>
    <w:basedOn w:val="Normal"/>
    <w:rsid w:val="00224448"/>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B6059"/>
    <w:rPr>
      <w:lang w:eastAsia="en-US"/>
    </w:rPr>
  </w:style>
  <w:style w:type="paragraph" w:styleId="Heading1">
    <w:name w:val="heading 1"/>
    <w:basedOn w:val="Normal"/>
    <w:next w:val="Normal"/>
    <w:qFormat/>
    <w:pPr>
      <w:keepNext/>
      <w:outlineLvl w:val="0"/>
    </w:pPr>
    <w:rPr>
      <w:rFonts w:ascii="Arial" w:hAnsi="Arial"/>
      <w:sz w:val="24"/>
    </w:rPr>
  </w:style>
  <w:style w:type="paragraph" w:styleId="Heading3">
    <w:name w:val="heading 3"/>
    <w:basedOn w:val="Normal"/>
    <w:next w:val="Normal"/>
    <w:qFormat/>
    <w:pPr>
      <w:keepNext/>
      <w:ind w:left="426"/>
      <w:jc w:val="both"/>
      <w:outlineLvl w:val="2"/>
    </w:pPr>
    <w:rPr>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703"/>
        <w:tab w:val="right" w:pos="9406"/>
      </w:tabs>
    </w:pPr>
  </w:style>
  <w:style w:type="character" w:styleId="PageNumber">
    <w:name w:val="page number"/>
    <w:basedOn w:val="DefaultParagraphFont"/>
  </w:style>
  <w:style w:type="paragraph" w:styleId="BodyText">
    <w:name w:val="Body Text"/>
    <w:basedOn w:val="Normal"/>
    <w:pPr>
      <w:jc w:val="both"/>
    </w:pPr>
    <w:rPr>
      <w:sz w:val="24"/>
    </w:rPr>
  </w:style>
  <w:style w:type="paragraph" w:styleId="List2">
    <w:name w:val="List 2"/>
    <w:basedOn w:val="Normal"/>
    <w:pPr>
      <w:ind w:left="720" w:hanging="360"/>
    </w:pPr>
  </w:style>
  <w:style w:type="paragraph" w:styleId="FootnoteText">
    <w:name w:val="footnote text"/>
    <w:basedOn w:val="Normal"/>
    <w:semiHidden/>
  </w:style>
  <w:style w:type="character" w:styleId="FootnoteReference">
    <w:name w:val="footnote reference"/>
    <w:basedOn w:val="DefaultParagraphFont"/>
    <w:semiHidden/>
    <w:rPr>
      <w:vertAlign w:val="superscript"/>
    </w:rPr>
  </w:style>
  <w:style w:type="character" w:styleId="CommentReference">
    <w:name w:val="annotation reference"/>
    <w:basedOn w:val="DefaultParagraphFont"/>
    <w:semiHidden/>
    <w:rPr>
      <w:sz w:val="16"/>
    </w:rPr>
  </w:style>
  <w:style w:type="paragraph" w:styleId="CommentText">
    <w:name w:val="annotation text"/>
    <w:basedOn w:val="Normal"/>
    <w:semiHidden/>
  </w:style>
  <w:style w:type="paragraph" w:styleId="BodyText2">
    <w:name w:val="Body Text 2"/>
    <w:basedOn w:val="Normal"/>
    <w:rPr>
      <w:rFonts w:ascii="Arial" w:hAnsi="Arial"/>
      <w:sz w:val="24"/>
    </w:rPr>
  </w:style>
  <w:style w:type="paragraph" w:styleId="BodyText3">
    <w:name w:val="Body Text 3"/>
    <w:basedOn w:val="Normal"/>
    <w:pPr>
      <w:jc w:val="both"/>
    </w:pPr>
  </w:style>
  <w:style w:type="paragraph" w:styleId="NormalWeb">
    <w:name w:val="Normal (Web)"/>
    <w:basedOn w:val="Normal"/>
    <w:pPr>
      <w:spacing w:before="100" w:after="100"/>
    </w:pPr>
    <w:rPr>
      <w:sz w:val="24"/>
    </w:rPr>
  </w:style>
  <w:style w:type="paragraph" w:styleId="BodyTextIndent">
    <w:name w:val="Body Text Indent"/>
    <w:basedOn w:val="Normal"/>
    <w:pPr>
      <w:spacing w:line="360" w:lineRule="auto"/>
      <w:ind w:right="27" w:firstLine="720"/>
      <w:jc w:val="both"/>
    </w:pPr>
    <w:rPr>
      <w:rFonts w:ascii="Arial" w:hAnsi="Arial"/>
      <w:sz w:val="24"/>
    </w:rPr>
  </w:style>
  <w:style w:type="paragraph" w:styleId="Header">
    <w:name w:val="head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sid w:val="00FA1462"/>
    <w:rPr>
      <w:b/>
      <w:bCs/>
    </w:rPr>
  </w:style>
  <w:style w:type="paragraph" w:styleId="DocumentMap">
    <w:name w:val="Document Map"/>
    <w:basedOn w:val="Normal"/>
    <w:semiHidden/>
    <w:rsid w:val="00F045BA"/>
    <w:pPr>
      <w:shd w:val="clear" w:color="auto" w:fill="000080"/>
    </w:pPr>
    <w:rPr>
      <w:rFonts w:ascii="Tahoma" w:hAnsi="Tahoma" w:cs="Tahoma"/>
    </w:rPr>
  </w:style>
  <w:style w:type="paragraph" w:customStyle="1" w:styleId="CharCharChar">
    <w:name w:val="Char Char Char"/>
    <w:basedOn w:val="Normal"/>
    <w:rsid w:val="001C08A6"/>
    <w:rPr>
      <w:lang w:val="en-US"/>
    </w:rPr>
  </w:style>
  <w:style w:type="paragraph" w:customStyle="1" w:styleId="CharChar1">
    <w:name w:val="Char Char1"/>
    <w:basedOn w:val="Normal"/>
    <w:rsid w:val="00224448"/>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313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6475</Words>
  <Characters>36908</Characters>
  <Application>Microsoft Office Word</Application>
  <DocSecurity>4</DocSecurity>
  <Lines>307</Lines>
  <Paragraphs>86</Paragraphs>
  <ScaleCrop>false</ScaleCrop>
  <Company>BNP Paribas</Company>
  <LinksUpToDate>false</LinksUpToDate>
  <CharactersWithSpaces>43297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2016-11-25T08:46:00Z</dcterms:created>
  <dcterms:modified xsi:type="dcterms:W3CDTF">2016-11-25T08:46:00Z</dcterms:modified>
</cp:coreProperties>
</file>