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1E0" w:firstRow="1" w:lastRow="1" w:firstColumn="1" w:lastColumn="1" w:noHBand="0" w:noVBand="0"/>
      </w:tblPr>
      <w:tblGrid>
        <w:gridCol w:w="9680"/>
      </w:tblGrid>
      <w:tr w:rsidR="00693105">
        <w:tc>
          <w:tcPr>
            <w:tcW w:w="9680" w:type="dxa"/>
          </w:tcPr>
          <w:p w:rsidR="00693105" w:rsidRDefault="00932466">
            <w:pPr>
              <w:rPr>
                <w:b/>
                <w:color w:val="000000"/>
              </w:rPr>
            </w:pPr>
            <w:bookmarkStart w:id="0" w:name="_GoBack"/>
            <w:bookmarkEnd w:id="0"/>
            <w:r>
              <w:rPr>
                <w:b/>
                <w:color w:val="000000"/>
              </w:rPr>
              <w:t xml:space="preserve">BU İZAHNAME KATILMA PAYLARININ SATIŞININ YAPILDIĞI YERLERDE FON İÇTÜZÜĞÜ İLE BİRLİKTE TASARRUF SAHİPLERİNİN İNCELEMESİNE SUNULMAK VE ÜCRETSİZ OLARAK KENDİLERİNE VERİLMEK ÜZERE YETERLİ SAYIDA HAZIR BULUNDURULUR. BU İZAHNAME YENİ BİR TUTAR ARTIRIMINA KADAR </w:t>
            </w:r>
            <w:r>
              <w:rPr>
                <w:b/>
                <w:color w:val="000000"/>
              </w:rPr>
              <w:t>GEÇERLİ OLUP, İZAHNAME KAPSAMINDAKİ BİLGİLERDEKİ DEĞİŞİKLİKLER TİCARET SİCİLİNE TESCİL VE TÜRKİYE TİCARET SİCİLİ GAZETESİ’NDE İLANINI MÜTEAKİP BU İZAHNAMENİN EKİ HALİNE GETİRİLİR. HER YATIRIM DÖNEMİ BAŞLANGIÇ TARİHİ İTİBARİYLE İZAHNAME DEĞİŞİKLİKLERİ TEKRA</w:t>
            </w:r>
            <w:r>
              <w:rPr>
                <w:b/>
                <w:color w:val="000000"/>
              </w:rPr>
              <w:t>R TESCİL ETTİRİLMEKSİZİN TEK BİR METİN HALİNE GETİRİLEREK TASARRUF SAHİPLERİNE SUNULMAK ÜZERE TEKRAR BASTIRILIR.</w:t>
            </w:r>
          </w:p>
          <w:p w:rsidR="00693105" w:rsidRDefault="00693105">
            <w:pPr>
              <w:rPr>
                <w:b/>
                <w:color w:val="000000"/>
              </w:rPr>
            </w:pPr>
          </w:p>
          <w:p w:rsidR="00693105" w:rsidRDefault="00932466">
            <w:pPr>
              <w:rPr>
                <w:b/>
                <w:color w:val="000000"/>
              </w:rPr>
            </w:pPr>
            <w:r>
              <w:rPr>
                <w:b/>
                <w:color w:val="000000"/>
              </w:rPr>
              <w:t>FON TARAFINDAN HEDEFLENEN %100 ANAPARA KORUMASI VE OLASI GETİRİ KESİN BİR TAAHHÜT NİTELİĞİNDE DEĞİLDİR VE  FONUN YATIRIM DÖNEMİNİN SONUNDA GER</w:t>
            </w:r>
            <w:r>
              <w:rPr>
                <w:b/>
                <w:color w:val="000000"/>
              </w:rPr>
              <w:t xml:space="preserve">ÇEKLEŞMEME RİSKİ BULUNMAKTADIR. </w:t>
            </w:r>
          </w:p>
          <w:p w:rsidR="00693105" w:rsidRDefault="00693105">
            <w:pPr>
              <w:rPr>
                <w:b/>
                <w:color w:val="000000"/>
              </w:rPr>
            </w:pPr>
          </w:p>
          <w:p w:rsidR="00693105" w:rsidRDefault="00932466">
            <w:pPr>
              <w:rPr>
                <w:b/>
                <w:color w:val="000000"/>
              </w:rPr>
            </w:pPr>
            <w:r>
              <w:rPr>
                <w:b/>
                <w:color w:val="000000"/>
              </w:rPr>
              <w:t xml:space="preserve">YATIRIMCILARIN, YATIRIM DÖNEMİ SONU İÇİN GEÇERLİ OLAN %100 ANAPARA KORUMASINDAN VE OLASI GETİRİDEN YARARLANABİLMELERİ İÇİN YATIRIM DÖNEMİNİN SONUNA KADAR FONDA KALMALARI GEREKLİDİR. </w:t>
            </w:r>
          </w:p>
          <w:p w:rsidR="00693105" w:rsidRDefault="00693105">
            <w:pPr>
              <w:rPr>
                <w:b/>
                <w:color w:val="000000"/>
              </w:rPr>
            </w:pPr>
          </w:p>
          <w:p w:rsidR="00693105" w:rsidRDefault="00932466">
            <w:pPr>
              <w:rPr>
                <w:b/>
              </w:rPr>
            </w:pPr>
            <w:r>
              <w:rPr>
                <w:b/>
                <w:color w:val="000000"/>
              </w:rPr>
              <w:t>YATIRIMCILAR, FONA YATIRIM YAPMADAN ÖN</w:t>
            </w:r>
            <w:r>
              <w:rPr>
                <w:b/>
                <w:color w:val="000000"/>
              </w:rPr>
              <w:t xml:space="preserve">CE, FONUN, BU İZAHNAMEDE AÇIKLANAN RİSKLERİNİ VE DİĞER ÖZELLİKLERİNİ GÖZ ÖNÜNDE BULUNDURMALIDIRLAR.  </w:t>
            </w:r>
          </w:p>
        </w:tc>
      </w:tr>
    </w:tbl>
    <w:p w:rsidR="00693105" w:rsidRDefault="00693105"/>
    <w:p w:rsidR="00693105" w:rsidRDefault="00932466">
      <w:pPr>
        <w:jc w:val="center"/>
        <w:rPr>
          <w:b/>
        </w:rPr>
      </w:pPr>
      <w:r>
        <w:rPr>
          <w:b/>
        </w:rPr>
        <w:t xml:space="preserve">TÜRK EKONOMİ BANKASI A.Ş.’NİN </w:t>
      </w:r>
    </w:p>
    <w:p w:rsidR="00693105" w:rsidRDefault="00932466">
      <w:pPr>
        <w:jc w:val="center"/>
        <w:rPr>
          <w:b/>
        </w:rPr>
      </w:pPr>
      <w:r>
        <w:rPr>
          <w:b/>
        </w:rPr>
        <w:t>B TİPİ %100 ANAPARA KORUMA AMAÇLI BİRİNCİ YATIRIM FONU</w:t>
      </w:r>
    </w:p>
    <w:p w:rsidR="00693105" w:rsidRDefault="00932466">
      <w:pPr>
        <w:jc w:val="center"/>
        <w:rPr>
          <w:b/>
        </w:rPr>
      </w:pPr>
      <w:r>
        <w:rPr>
          <w:b/>
        </w:rPr>
        <w:t>2.500.000.000 ADET 1. TERTİP</w:t>
      </w:r>
    </w:p>
    <w:p w:rsidR="00693105" w:rsidRDefault="00932466">
      <w:pPr>
        <w:jc w:val="center"/>
        <w:rPr>
          <w:b/>
        </w:rPr>
      </w:pPr>
      <w:r>
        <w:rPr>
          <w:b/>
        </w:rPr>
        <w:t>KATILMA PAYLARININ HALKA ARZINA İLİŞK</w:t>
      </w:r>
      <w:r>
        <w:rPr>
          <w:b/>
        </w:rPr>
        <w:t>İN</w:t>
      </w:r>
    </w:p>
    <w:p w:rsidR="00693105" w:rsidRDefault="00932466">
      <w:pPr>
        <w:jc w:val="center"/>
      </w:pPr>
      <w:r>
        <w:rPr>
          <w:b/>
        </w:rPr>
        <w:t>İZAHNAMEDİR</w:t>
      </w:r>
      <w:r>
        <w:t>.</w:t>
      </w:r>
    </w:p>
    <w:p w:rsidR="00693105" w:rsidRDefault="00693105"/>
    <w:p w:rsidR="00693105" w:rsidRDefault="00932466">
      <w:pPr>
        <w:ind w:firstLine="708"/>
      </w:pPr>
      <w:r>
        <w:t>Türk Ekonomi Bankası A.Ş. tarafından 2499 sayılı Sermaye Piyasası Kanunu'nun 37 ve 38'nci maddelerine dayanılarak, 25/12/2007 tarihinde İstanbul ili Ticaret Sicili Memurluğuna 189356-136872  sicil numarası altında kaydedilerek …../…../…………</w:t>
      </w:r>
      <w:r>
        <w:t xml:space="preserve">.. tarih ve ................... sayılı Türkiye Ticaret Sicili Gazetesinde ilan edilen fon içtüzüğü hükümlerine göre yönetilmek üzere, halktan katılma payları karşılığında toplanacak paralarla, katılma payı sahipleri hesabına, riskin dağıtılması ve inançlı </w:t>
      </w:r>
      <w:r>
        <w:t>mülkiyet esaslarına göre kamu borçlanma senetleri veya ters repo ile opsiyon sözleşmelerinden oluşan portföyü işletmek amacıyla Sermaye Piyasası Kurulu'nun 19/12/2007 tarih ve B.02.1.SPK.0.15-854</w:t>
      </w:r>
      <w:r>
        <w:rPr>
          <w:b/>
        </w:rPr>
        <w:t xml:space="preserve"> </w:t>
      </w:r>
      <w:r>
        <w:t>sayılı izni ile kurulmuş Türk Ekonomi Bankası A.Ş. B Tipi %1</w:t>
      </w:r>
      <w:r>
        <w:t>00 Anapara Koruma Amaçlı Birinci Yatırım Fonu</w:t>
      </w:r>
      <w:r>
        <w:rPr>
          <w:b/>
        </w:rPr>
        <w:t xml:space="preserve"> </w:t>
      </w:r>
      <w:r>
        <w:t>katılma paylarının halka arzına ilişkin izahnamedir.</w:t>
      </w:r>
    </w:p>
    <w:p w:rsidR="00693105" w:rsidRDefault="00693105"/>
    <w:p w:rsidR="00693105" w:rsidRDefault="00932466">
      <w:pPr>
        <w:ind w:firstLine="708"/>
      </w:pPr>
      <w:r>
        <w:t xml:space="preserve">Fona iştirak sağlayan ve fon varlığına katılım oranını gösteren 1. tertip 2.500.000.000 adet katılma payları, Sermaye Piyasası Kurulu'nca ...../....../20…. </w:t>
      </w:r>
      <w:r>
        <w:t>tarih ve .......................... sayı ile kayda alınmıştır. Ancak bu kayda alınma, Fon'un ve katılma paylarının, Kurul veya kamuca tekeffülü anlamına gelmez.</w:t>
      </w:r>
    </w:p>
    <w:p w:rsidR="00693105" w:rsidRDefault="00693105"/>
    <w:p w:rsidR="00693105" w:rsidRDefault="00932466">
      <w:pPr>
        <w:pStyle w:val="Heading2"/>
      </w:pPr>
      <w:r>
        <w:t>I. FON HAKKINDA BİLGİLER:</w:t>
      </w:r>
    </w:p>
    <w:p w:rsidR="00693105" w:rsidRDefault="00693105"/>
    <w:tbl>
      <w:tblPr>
        <w:tblStyle w:val="TableGrid"/>
        <w:tblW w:w="9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08"/>
        <w:gridCol w:w="236"/>
        <w:gridCol w:w="7612"/>
        <w:gridCol w:w="70"/>
      </w:tblGrid>
      <w:tr w:rsidR="00693105">
        <w:trPr>
          <w:gridAfter w:val="1"/>
          <w:wAfter w:w="70" w:type="dxa"/>
        </w:trPr>
        <w:tc>
          <w:tcPr>
            <w:tcW w:w="1908" w:type="dxa"/>
          </w:tcPr>
          <w:p w:rsidR="00693105" w:rsidRDefault="00932466">
            <w:pPr>
              <w:numPr>
                <w:ilvl w:val="0"/>
                <w:numId w:val="2"/>
              </w:numPr>
              <w:tabs>
                <w:tab w:val="clear" w:pos="720"/>
                <w:tab w:val="left" w:pos="360"/>
              </w:tabs>
              <w:ind w:left="0" w:firstLine="0"/>
            </w:pPr>
            <w:r>
              <w:t>Fonun Türü</w:t>
            </w:r>
          </w:p>
        </w:tc>
        <w:tc>
          <w:tcPr>
            <w:tcW w:w="236" w:type="dxa"/>
          </w:tcPr>
          <w:p w:rsidR="00693105" w:rsidRDefault="00932466">
            <w:r>
              <w:t>:</w:t>
            </w:r>
          </w:p>
        </w:tc>
        <w:tc>
          <w:tcPr>
            <w:tcW w:w="7612" w:type="dxa"/>
          </w:tcPr>
          <w:p w:rsidR="00693105" w:rsidRDefault="00932466">
            <w:r>
              <w:rPr>
                <w:rFonts w:ascii="TimesNewRomanPSMT" w:hAnsi="TimesNewRomanPSMT" w:cs="TimesNewRomanPSMT"/>
                <w:color w:val="000000"/>
                <w:sz w:val="22"/>
                <w:szCs w:val="22"/>
              </w:rPr>
              <w:t xml:space="preserve">Yatırımcının başlangıç yatırımının belirli bir bölümünün,tamamının ya da başlangıç yatırımının üzerinde belirli bir getirinin içtüzükte belirlenen esaslar çerçevesinde </w:t>
            </w:r>
            <w:r>
              <w:rPr>
                <w:rFonts w:ascii="TimesNewRomanPSMT" w:hAnsi="TimesNewRomanPSMT" w:cs="TimesNewRomanPSMT"/>
                <w:color w:val="000000"/>
                <w:sz w:val="22"/>
                <w:szCs w:val="22"/>
              </w:rPr>
              <w:lastRenderedPageBreak/>
              <w:t>belirli vade ya da vadelerde yatırımcıya geri ödenmesinin, uygun bir yatırım stratejisin</w:t>
            </w:r>
            <w:r>
              <w:rPr>
                <w:rFonts w:ascii="TimesNewRomanPSMT" w:hAnsi="TimesNewRomanPSMT" w:cs="TimesNewRomanPSMT"/>
                <w:color w:val="000000"/>
                <w:sz w:val="22"/>
                <w:szCs w:val="22"/>
              </w:rPr>
              <w:t>e dayanılarak en iyi gayret esası çerçevesinde amaçlandığı fonlar “KORUMA AMAÇLI FON” olarak adlandırılır.</w:t>
            </w:r>
          </w:p>
        </w:tc>
      </w:tr>
      <w:tr w:rsidR="00693105">
        <w:trPr>
          <w:gridAfter w:val="1"/>
          <w:wAfter w:w="70" w:type="dxa"/>
        </w:trPr>
        <w:tc>
          <w:tcPr>
            <w:tcW w:w="1908" w:type="dxa"/>
          </w:tcPr>
          <w:p w:rsidR="00693105" w:rsidRDefault="00932466">
            <w:pPr>
              <w:numPr>
                <w:ilvl w:val="0"/>
                <w:numId w:val="2"/>
              </w:numPr>
              <w:tabs>
                <w:tab w:val="clear" w:pos="720"/>
                <w:tab w:val="left" w:pos="360"/>
              </w:tabs>
              <w:ind w:left="0" w:firstLine="0"/>
            </w:pPr>
            <w:r>
              <w:lastRenderedPageBreak/>
              <w:t>Fonun Tipi</w:t>
            </w:r>
          </w:p>
        </w:tc>
        <w:tc>
          <w:tcPr>
            <w:tcW w:w="236" w:type="dxa"/>
          </w:tcPr>
          <w:p w:rsidR="00693105" w:rsidRDefault="00932466">
            <w:r>
              <w:t>:</w:t>
            </w:r>
          </w:p>
        </w:tc>
        <w:tc>
          <w:tcPr>
            <w:tcW w:w="7612" w:type="dxa"/>
          </w:tcPr>
          <w:p w:rsidR="00693105" w:rsidRDefault="00932466">
            <w:r>
              <w:t>B Tipi</w:t>
            </w:r>
          </w:p>
        </w:tc>
      </w:tr>
      <w:tr w:rsidR="00693105">
        <w:trPr>
          <w:gridAfter w:val="1"/>
          <w:wAfter w:w="70" w:type="dxa"/>
        </w:trPr>
        <w:tc>
          <w:tcPr>
            <w:tcW w:w="1908" w:type="dxa"/>
          </w:tcPr>
          <w:p w:rsidR="00693105" w:rsidRDefault="00932466">
            <w:pPr>
              <w:numPr>
                <w:ilvl w:val="0"/>
                <w:numId w:val="2"/>
              </w:numPr>
              <w:tabs>
                <w:tab w:val="clear" w:pos="720"/>
                <w:tab w:val="left" w:pos="360"/>
              </w:tabs>
              <w:ind w:left="0" w:firstLine="0"/>
            </w:pPr>
            <w:r>
              <w:t>Fon Tutarı</w:t>
            </w:r>
          </w:p>
        </w:tc>
        <w:tc>
          <w:tcPr>
            <w:tcW w:w="236" w:type="dxa"/>
          </w:tcPr>
          <w:p w:rsidR="00693105" w:rsidRDefault="00932466">
            <w:r>
              <w:t>:</w:t>
            </w:r>
          </w:p>
        </w:tc>
        <w:tc>
          <w:tcPr>
            <w:tcW w:w="7612" w:type="dxa"/>
          </w:tcPr>
          <w:p w:rsidR="00693105" w:rsidRDefault="00932466">
            <w:r>
              <w:t>25.000.000 YTL</w:t>
            </w:r>
          </w:p>
        </w:tc>
      </w:tr>
      <w:tr w:rsidR="00693105">
        <w:trPr>
          <w:gridAfter w:val="1"/>
          <w:wAfter w:w="70" w:type="dxa"/>
        </w:trPr>
        <w:tc>
          <w:tcPr>
            <w:tcW w:w="1908" w:type="dxa"/>
          </w:tcPr>
          <w:p w:rsidR="00693105" w:rsidRDefault="00932466">
            <w:pPr>
              <w:numPr>
                <w:ilvl w:val="0"/>
                <w:numId w:val="2"/>
              </w:numPr>
              <w:tabs>
                <w:tab w:val="clear" w:pos="720"/>
                <w:tab w:val="left" w:pos="360"/>
              </w:tabs>
              <w:ind w:left="0" w:firstLine="0"/>
            </w:pPr>
            <w:r>
              <w:t>Pay Sayısı</w:t>
            </w:r>
          </w:p>
        </w:tc>
        <w:tc>
          <w:tcPr>
            <w:tcW w:w="236" w:type="dxa"/>
          </w:tcPr>
          <w:p w:rsidR="00693105" w:rsidRDefault="00932466">
            <w:r>
              <w:t>:</w:t>
            </w:r>
          </w:p>
        </w:tc>
        <w:tc>
          <w:tcPr>
            <w:tcW w:w="7612" w:type="dxa"/>
          </w:tcPr>
          <w:p w:rsidR="00693105" w:rsidRDefault="00932466">
            <w:r>
              <w:t>2.500.000.000 Adet</w:t>
            </w:r>
          </w:p>
        </w:tc>
      </w:tr>
      <w:tr w:rsidR="00693105">
        <w:trPr>
          <w:gridAfter w:val="1"/>
          <w:wAfter w:w="70" w:type="dxa"/>
        </w:trPr>
        <w:tc>
          <w:tcPr>
            <w:tcW w:w="1908" w:type="dxa"/>
          </w:tcPr>
          <w:p w:rsidR="00693105" w:rsidRDefault="00932466">
            <w:pPr>
              <w:numPr>
                <w:ilvl w:val="0"/>
                <w:numId w:val="2"/>
              </w:numPr>
              <w:tabs>
                <w:tab w:val="clear" w:pos="720"/>
                <w:tab w:val="left" w:pos="360"/>
              </w:tabs>
              <w:ind w:left="0" w:firstLine="0"/>
            </w:pPr>
            <w:r>
              <w:t>Süresi</w:t>
            </w:r>
          </w:p>
        </w:tc>
        <w:tc>
          <w:tcPr>
            <w:tcW w:w="236" w:type="dxa"/>
          </w:tcPr>
          <w:p w:rsidR="00693105" w:rsidRDefault="00932466">
            <w:r>
              <w:t>:</w:t>
            </w:r>
          </w:p>
        </w:tc>
        <w:tc>
          <w:tcPr>
            <w:tcW w:w="7612" w:type="dxa"/>
          </w:tcPr>
          <w:p w:rsidR="00693105" w:rsidRDefault="00932466">
            <w:r>
              <w:t xml:space="preserve">Fon süresiz olmakla birlikte, </w:t>
            </w:r>
            <w:r>
              <w:t>başlangıç ve bitiş tarihleri aşağıda belirtilen bir yatırım dönemine sahiptir</w:t>
            </w:r>
          </w:p>
        </w:tc>
      </w:tr>
      <w:tr w:rsidR="00693105">
        <w:tc>
          <w:tcPr>
            <w:tcW w:w="1908" w:type="dxa"/>
          </w:tcPr>
          <w:p w:rsidR="00693105" w:rsidRDefault="00932466">
            <w:pPr>
              <w:numPr>
                <w:ilvl w:val="0"/>
                <w:numId w:val="2"/>
              </w:numPr>
              <w:tabs>
                <w:tab w:val="clear" w:pos="720"/>
                <w:tab w:val="left" w:pos="360"/>
              </w:tabs>
              <w:ind w:left="0" w:firstLine="0"/>
              <w:rPr>
                <w:color w:val="000000"/>
              </w:rPr>
            </w:pPr>
            <w:r>
              <w:rPr>
                <w:color w:val="000000"/>
              </w:rPr>
              <w:t>Talep Toplama Dönemi</w:t>
            </w:r>
          </w:p>
        </w:tc>
        <w:tc>
          <w:tcPr>
            <w:tcW w:w="236" w:type="dxa"/>
          </w:tcPr>
          <w:p w:rsidR="00693105" w:rsidRDefault="00932466">
            <w:pPr>
              <w:rPr>
                <w:color w:val="000000"/>
              </w:rPr>
            </w:pPr>
            <w:r>
              <w:rPr>
                <w:color w:val="000000"/>
              </w:rPr>
              <w:t>:</w:t>
            </w:r>
          </w:p>
        </w:tc>
        <w:tc>
          <w:tcPr>
            <w:tcW w:w="7682" w:type="dxa"/>
            <w:gridSpan w:val="2"/>
          </w:tcPr>
          <w:p w:rsidR="00693105" w:rsidRDefault="00932466">
            <w:pPr>
              <w:rPr>
                <w:color w:val="000000"/>
              </w:rPr>
            </w:pPr>
            <w:r>
              <w:rPr>
                <w:color w:val="000000"/>
              </w:rPr>
              <w:t>21/01/2008 - 25/01/2008 tarihleri arasıdır.</w:t>
            </w:r>
          </w:p>
        </w:tc>
      </w:tr>
      <w:tr w:rsidR="00693105">
        <w:tc>
          <w:tcPr>
            <w:tcW w:w="1908" w:type="dxa"/>
          </w:tcPr>
          <w:p w:rsidR="00693105" w:rsidRDefault="00932466">
            <w:pPr>
              <w:numPr>
                <w:ilvl w:val="0"/>
                <w:numId w:val="2"/>
              </w:numPr>
              <w:tabs>
                <w:tab w:val="clear" w:pos="720"/>
                <w:tab w:val="left" w:pos="360"/>
              </w:tabs>
              <w:ind w:left="0" w:firstLine="0"/>
              <w:rPr>
                <w:color w:val="000000"/>
              </w:rPr>
            </w:pPr>
            <w:r>
              <w:rPr>
                <w:color w:val="000000"/>
              </w:rPr>
              <w:t>Yatırım Dönemi</w:t>
            </w:r>
          </w:p>
        </w:tc>
        <w:tc>
          <w:tcPr>
            <w:tcW w:w="236" w:type="dxa"/>
          </w:tcPr>
          <w:p w:rsidR="00693105" w:rsidRDefault="00932466">
            <w:pPr>
              <w:rPr>
                <w:color w:val="000000"/>
              </w:rPr>
            </w:pPr>
            <w:r>
              <w:rPr>
                <w:color w:val="000000"/>
              </w:rPr>
              <w:t>:</w:t>
            </w:r>
          </w:p>
        </w:tc>
        <w:tc>
          <w:tcPr>
            <w:tcW w:w="7682" w:type="dxa"/>
            <w:gridSpan w:val="2"/>
          </w:tcPr>
          <w:p w:rsidR="00693105" w:rsidRDefault="00932466">
            <w:pPr>
              <w:rPr>
                <w:color w:val="000000"/>
              </w:rPr>
            </w:pPr>
            <w:r>
              <w:rPr>
                <w:color w:val="000000"/>
              </w:rPr>
              <w:t xml:space="preserve">28/01/2008 - 28/01/2009 tarihleri arasıdır (1 yıl) </w:t>
            </w:r>
          </w:p>
        </w:tc>
      </w:tr>
    </w:tbl>
    <w:p w:rsidR="00693105" w:rsidRDefault="00693105"/>
    <w:p w:rsidR="00693105" w:rsidRDefault="00932466">
      <w:pPr>
        <w:pStyle w:val="Heading2"/>
      </w:pPr>
      <w:r>
        <w:t>II. FON PORTFÖY STRATEJİSİ:</w:t>
      </w:r>
    </w:p>
    <w:p w:rsidR="00693105" w:rsidRDefault="00693105"/>
    <w:p w:rsidR="00693105" w:rsidRDefault="00932466">
      <w:pPr>
        <w:rPr>
          <w:color w:val="000000"/>
        </w:rPr>
      </w:pPr>
      <w:r>
        <w:rPr>
          <w:color w:val="000000"/>
        </w:rPr>
        <w:t xml:space="preserve">Fon </w:t>
      </w:r>
      <w:r>
        <w:rPr>
          <w:color w:val="000000"/>
        </w:rPr>
        <w:t>portföyündeki varlıklar Sermaye Piyasası Kurulu'nun düzenlemelerine ve fon içtüzüğüne uygun olarak seçilir ve fon portföyü yönetici tarafından içtüzüğün 5. md. ve Sermaye Piyasası Kurulu’nun Seri:VII, No:10 sayılı Tebliği’nin 41. md. ne uygun olarak yöneti</w:t>
      </w:r>
      <w:r>
        <w:rPr>
          <w:color w:val="000000"/>
        </w:rPr>
        <w:t>lir.</w:t>
      </w:r>
    </w:p>
    <w:p w:rsidR="00693105" w:rsidRDefault="00693105">
      <w:pPr>
        <w:pStyle w:val="BodyTextIndent"/>
        <w:tabs>
          <w:tab w:val="left" w:pos="709"/>
        </w:tabs>
        <w:ind w:left="0" w:right="28"/>
      </w:pPr>
    </w:p>
    <w:p w:rsidR="00693105" w:rsidRDefault="00932466">
      <w:pPr>
        <w:pStyle w:val="BodyTextIndent"/>
        <w:tabs>
          <w:tab w:val="left" w:pos="709"/>
        </w:tabs>
        <w:ind w:left="0" w:right="28"/>
        <w:rPr>
          <w:b/>
        </w:rPr>
      </w:pPr>
      <w:r>
        <w:t xml:space="preserve">Fonun amacı, izahnamede belirtilen yatırım döneminin sonunda, yatırımcının anaparasının tamamının geri ödenmesi ve ayrıca, borsa dışından alınacak bir opsiyon sözleşmesi aracılığıyla İMKB - 30 Endeksinin yükselişine iştirak oranı ölçüsünde katılım </w:t>
      </w:r>
      <w:r>
        <w:t>sağlamaktır.</w:t>
      </w:r>
      <w:r>
        <w:rPr>
          <w:b/>
        </w:rPr>
        <w:t xml:space="preserve">              </w:t>
      </w:r>
    </w:p>
    <w:p w:rsidR="00693105" w:rsidRDefault="00932466">
      <w:r>
        <w:t>Anaparanın korunması amacına yönelik olarak, fon portföyünün yaklaşık %85’i ile borsa dışından ters repo sözleşmesine ya da fonun yatırım dönemi süresine uygun olması halinde devlet tahvili ve/veya hazine bonosuna yatırım yapılac</w:t>
      </w:r>
      <w:r>
        <w:t xml:space="preserve">aktır. Getiri hedefine yönelik olarak ise, portföyün yaklaşık %15’i ile Tebliğ ve içtüzük ile belirlenmiş olan niteliklere sahip İMKB-30 Endeksi’ne dayalı bir opsiyon sözleşmesi borsa dışından satın alınacaktır. </w:t>
      </w:r>
    </w:p>
    <w:p w:rsidR="00693105" w:rsidRDefault="00693105"/>
    <w:p w:rsidR="00693105" w:rsidRDefault="00932466">
      <w:pPr>
        <w:rPr>
          <w:highlight w:val="cyan"/>
        </w:rPr>
      </w:pPr>
      <w:r>
        <w:t>Opsiyon sözleşmesine göre;</w:t>
      </w:r>
    </w:p>
    <w:p w:rsidR="00693105" w:rsidRDefault="00932466">
      <w:pPr>
        <w:ind w:firstLine="708"/>
      </w:pPr>
      <w:r>
        <w:t xml:space="preserve">-Fonun yatırım </w:t>
      </w:r>
      <w:r>
        <w:t>dönemini oluşturan 12 aylık süre içinde, 30 günlük süreler itibariyle İMKB 30 Endeks İlk Değeri ile (</w:t>
      </w:r>
      <w:r>
        <w:rPr>
          <w:i/>
        </w:rPr>
        <w:t>endeksin ilk değeri, opsiyon işleminin bağlandığı işlem günü ve takip eden işlem günü kapanış değerlerinin basit ortalaması olacaktır</w:t>
      </w:r>
      <w:r>
        <w:t>) 30 günlük sürenin so</w:t>
      </w:r>
      <w:r>
        <w:t>nundaki İMKB 30 Endeks Değeri ile (</w:t>
      </w:r>
      <w:r>
        <w:rPr>
          <w:i/>
        </w:rPr>
        <w:t>İMKB 30 Endeksi’nin gözlem günündeki kapanış değeri esas alınır.)</w:t>
      </w:r>
      <w:r>
        <w:t xml:space="preserve">  arasındaki fark bulunur; bu  fark Endeks İlk Değeri’ne bölünerek, dönemsel getiri hesaplanır.</w:t>
      </w:r>
    </w:p>
    <w:p w:rsidR="00693105" w:rsidRDefault="00932466">
      <w:pPr>
        <w:ind w:firstLine="708"/>
      </w:pPr>
      <w:r>
        <w:t xml:space="preserve">- Fonun yatırım döneminin sonuna kadar bu şekilde 30 günlük </w:t>
      </w:r>
      <w:r>
        <w:t xml:space="preserve">süreler için 12 defa yapılan gözlemler neticesinde hesaplanan getirilerin basit ortalaması alınır. Ancak herhangi bir gözlem günündeki dönemsel getiriler negatif ise, söz konusu gözlem dönemi getirisi sıfır olarak kabul edilir. </w:t>
      </w:r>
    </w:p>
    <w:p w:rsidR="00693105" w:rsidRDefault="00932466">
      <w:pPr>
        <w:ind w:firstLine="708"/>
      </w:pPr>
      <w:r>
        <w:t>- Eğer 12 aylık ortalama sı</w:t>
      </w:r>
      <w:r>
        <w:t>fırdan küçükse yatırımcı anaparasının üzerinde başka bir getiri elde edemeyecek; ortalama sıfırdan büyükse bir getiri oluşacaktır.</w:t>
      </w:r>
    </w:p>
    <w:p w:rsidR="00693105" w:rsidRDefault="00932466">
      <w:pPr>
        <w:ind w:firstLine="708"/>
      </w:pPr>
      <w:r>
        <w:t>- Bu şekilde getirinin belirlenmesini takiben, söz konusu getiri iştirak oranı ile çarpılmak suretiyle fonun getiriye katılım</w:t>
      </w:r>
      <w:r>
        <w:t xml:space="preserve"> miktarı belirlenir.</w:t>
      </w:r>
    </w:p>
    <w:p w:rsidR="00693105" w:rsidRDefault="00693105">
      <w:pPr>
        <w:autoSpaceDE w:val="0"/>
        <w:autoSpaceDN w:val="0"/>
        <w:adjustRightInd w:val="0"/>
      </w:pPr>
    </w:p>
    <w:p w:rsidR="00693105" w:rsidRDefault="00693105">
      <w:pPr>
        <w:autoSpaceDE w:val="0"/>
        <w:autoSpaceDN w:val="0"/>
        <w:adjustRightInd w:val="0"/>
      </w:pPr>
    </w:p>
    <w:p w:rsidR="00693105" w:rsidRDefault="00932466">
      <w:pPr>
        <w:autoSpaceDE w:val="0"/>
        <w:autoSpaceDN w:val="0"/>
        <w:adjustRightInd w:val="0"/>
      </w:pPr>
      <w:r>
        <w:t>Opsiyon sözleşmelerinde, getiri opsiyonun dayanak varlığının getirisi ile aynı olmayabilir. Bunun temel nedeni yatırımın doğrudan dayanak varlığa değil, sözleşmede belirlenen esaslar çerçevesinde söz konusu varlığı dayanak alan bir o</w:t>
      </w:r>
      <w:r>
        <w:t xml:space="preserve">psiyon sözleşmesine yatırım yapılmasıdır. Dolayısıyla, Fon portföyüne yansıtılacak getiri tamamiyle opsiyon sözleşmesinin şartlarına göre oluşacaktır. </w:t>
      </w:r>
    </w:p>
    <w:p w:rsidR="00693105" w:rsidRDefault="00693105">
      <w:pPr>
        <w:autoSpaceDE w:val="0"/>
        <w:autoSpaceDN w:val="0"/>
        <w:adjustRightInd w:val="0"/>
      </w:pPr>
    </w:p>
    <w:p w:rsidR="00693105" w:rsidRDefault="00932466">
      <w:pPr>
        <w:autoSpaceDE w:val="0"/>
        <w:autoSpaceDN w:val="0"/>
        <w:adjustRightInd w:val="0"/>
      </w:pPr>
      <w:r>
        <w:lastRenderedPageBreak/>
        <w:t>Fonun opsiyon sözleşmesi şartları çerçevesinde hesaplanacak getiriye katılım oranı olarak adlandırılabi</w:t>
      </w:r>
      <w:r>
        <w:t>len iştirak oranı, fon portföyünün oluşturulduğu tarih itibariyle kesinleşecektir. İştirak oranının %75 – 105 arasında gerçekleşmesi beklenmektedir. İştirak oranının burada belirtilen oranın altında kalması halinde, halka arz iptal edilecektir.</w:t>
      </w:r>
    </w:p>
    <w:p w:rsidR="00693105" w:rsidRDefault="00693105">
      <w:pPr>
        <w:autoSpaceDE w:val="0"/>
        <w:autoSpaceDN w:val="0"/>
        <w:adjustRightInd w:val="0"/>
      </w:pPr>
    </w:p>
    <w:p w:rsidR="00693105" w:rsidRDefault="00693105"/>
    <w:p w:rsidR="00693105" w:rsidRDefault="00932466">
      <w:pPr>
        <w:rPr>
          <w:color w:val="000000"/>
        </w:rPr>
      </w:pPr>
      <w:r>
        <w:rPr>
          <w:color w:val="000000"/>
        </w:rPr>
        <w:t>Olası get</w:t>
      </w:r>
      <w:r>
        <w:rPr>
          <w:color w:val="000000"/>
        </w:rPr>
        <w:t xml:space="preserve">irinin hesaplanmasına ilişkin örnek hesaplama tabloları aşağıda yer almaktadır. Hesaplamalarda, İMKB 30 Endeksinin ilk değerinin 50.000, yatırım döneminin başlangıç tarihinin 31.12.2007, iştirak oranın da %80 olduğu varsayılmıştır. </w:t>
      </w:r>
    </w:p>
    <w:p w:rsidR="00693105" w:rsidRDefault="00693105">
      <w:pPr>
        <w:rPr>
          <w:color w:val="000000"/>
        </w:rPr>
      </w:pPr>
    </w:p>
    <w:p w:rsidR="00693105" w:rsidRDefault="00932466">
      <w:pPr>
        <w:rPr>
          <w:color w:val="000000"/>
        </w:rPr>
      </w:pPr>
      <w:r>
        <w:rPr>
          <w:color w:val="000000"/>
        </w:rPr>
        <w:t xml:space="preserve">1. </w:t>
      </w:r>
      <w:r>
        <w:rPr>
          <w:b/>
          <w:color w:val="000000"/>
        </w:rPr>
        <w:t>Getiri Elde Edilmes</w:t>
      </w:r>
      <w:r>
        <w:rPr>
          <w:b/>
          <w:color w:val="000000"/>
        </w:rPr>
        <w:t>ine İlişkin Örnek Hesaplama Tablosu</w:t>
      </w:r>
      <w:r>
        <w:rPr>
          <w:color w:val="000000"/>
        </w:rPr>
        <w:t xml:space="preserve"> </w:t>
      </w:r>
    </w:p>
    <w:p w:rsidR="00693105" w:rsidRDefault="00932466">
      <w:r>
        <w:rPr>
          <w:color w:val="000000"/>
        </w:rPr>
        <w:t xml:space="preserve">12 aylık yatırım dönemi süresince, </w:t>
      </w:r>
      <w:r>
        <w:t>30 günlük süreler itibariyle İMKB 30 Endeksi’nin başlangıç değeri ile gözlem günündeki kapanış değeri arasındaki fark hesaplanır ve endeksin getirisi hesaplanır. Bu şekilde aylık dönem</w:t>
      </w:r>
      <w:r>
        <w:t>ler itibariyle hesaplanan endeks getirisinin 12 aylık basit ortalamasının iştirak oranı ile çarpımı sonucu bulunan tutar yatırım döneminin sonunda yatırımcıya ödenir.</w:t>
      </w:r>
    </w:p>
    <w:p w:rsidR="00693105" w:rsidRDefault="00932466">
      <w:pPr>
        <w:rPr>
          <w:color w:val="000000"/>
        </w:rPr>
      </w:pPr>
      <w:r>
        <w:t xml:space="preserve">  </w:t>
      </w:r>
    </w:p>
    <w:p w:rsidR="00693105" w:rsidRDefault="00932466">
      <w:r>
        <w:t xml:space="preserve">Toplam Getiri: </w:t>
      </w:r>
    </w:p>
    <w:p w:rsidR="00693105" w:rsidRDefault="00932466">
      <w:r>
        <w:t>(1.55%+7.58%+10.11+%3.00+%3.00+%6.44+%11.84+%20.47+%23.08+%30.61+%33.2</w:t>
      </w:r>
      <w:r>
        <w:t xml:space="preserve">3)/12         * 0.80 = %9.86 </w:t>
      </w:r>
    </w:p>
    <w:tbl>
      <w:tblPr>
        <w:tblStyle w:val="TableGrid7"/>
        <w:tblW w:w="4945" w:type="pct"/>
        <w:tblLook w:val="0000" w:firstRow="0" w:lastRow="0" w:firstColumn="0" w:lastColumn="0" w:noHBand="0" w:noVBand="0"/>
      </w:tblPr>
      <w:tblGrid>
        <w:gridCol w:w="3200"/>
        <w:gridCol w:w="2586"/>
        <w:gridCol w:w="1804"/>
        <w:gridCol w:w="2059"/>
      </w:tblGrid>
      <w:tr w:rsidR="00693105" w:rsidTr="00693105">
        <w:trPr>
          <w:trHeight w:val="276"/>
        </w:trPr>
        <w:tc>
          <w:tcPr>
            <w:tcW w:w="1658" w:type="pct"/>
            <w:vMerge w:val="restart"/>
          </w:tcPr>
          <w:p w:rsidR="00693105" w:rsidRDefault="00932466">
            <w:pPr>
              <w:jc w:val="center"/>
              <w:rPr>
                <w:bCs w:val="0"/>
                <w:sz w:val="20"/>
                <w:szCs w:val="20"/>
              </w:rPr>
            </w:pPr>
            <w:r>
              <w:rPr>
                <w:bCs w:val="0"/>
                <w:sz w:val="20"/>
                <w:szCs w:val="20"/>
              </w:rPr>
              <w:t>Dönemler</w:t>
            </w:r>
          </w:p>
        </w:tc>
        <w:tc>
          <w:tcPr>
            <w:tcW w:w="1340" w:type="pct"/>
            <w:vMerge w:val="restart"/>
          </w:tcPr>
          <w:p w:rsidR="00693105" w:rsidRDefault="00932466">
            <w:pPr>
              <w:jc w:val="center"/>
              <w:rPr>
                <w:bCs w:val="0"/>
                <w:sz w:val="20"/>
                <w:szCs w:val="20"/>
              </w:rPr>
            </w:pPr>
            <w:r>
              <w:rPr>
                <w:bCs w:val="0"/>
                <w:sz w:val="20"/>
                <w:szCs w:val="20"/>
              </w:rPr>
              <w:t xml:space="preserve">Endeks </w:t>
            </w:r>
            <w:r>
              <w:rPr>
                <w:bCs w:val="0"/>
                <w:sz w:val="20"/>
                <w:szCs w:val="20"/>
              </w:rPr>
              <w:br/>
              <w:t>Değeri</w:t>
            </w:r>
          </w:p>
        </w:tc>
        <w:tc>
          <w:tcPr>
            <w:tcW w:w="935" w:type="pct"/>
            <w:vMerge w:val="restart"/>
          </w:tcPr>
          <w:p w:rsidR="00693105" w:rsidRDefault="00932466">
            <w:pPr>
              <w:jc w:val="center"/>
              <w:rPr>
                <w:bCs w:val="0"/>
                <w:sz w:val="20"/>
                <w:szCs w:val="20"/>
              </w:rPr>
            </w:pPr>
            <w:r>
              <w:rPr>
                <w:bCs w:val="0"/>
                <w:sz w:val="20"/>
                <w:szCs w:val="20"/>
              </w:rPr>
              <w:t xml:space="preserve">Endeks </w:t>
            </w:r>
            <w:r>
              <w:rPr>
                <w:bCs w:val="0"/>
                <w:sz w:val="20"/>
                <w:szCs w:val="20"/>
              </w:rPr>
              <w:br/>
              <w:t>Getiri</w:t>
            </w:r>
          </w:p>
        </w:tc>
        <w:tc>
          <w:tcPr>
            <w:tcW w:w="1067" w:type="pct"/>
            <w:vMerge w:val="restart"/>
          </w:tcPr>
          <w:p w:rsidR="00693105" w:rsidRDefault="00932466">
            <w:pPr>
              <w:jc w:val="center"/>
              <w:rPr>
                <w:bCs w:val="0"/>
                <w:sz w:val="20"/>
                <w:szCs w:val="20"/>
              </w:rPr>
            </w:pPr>
            <w:r>
              <w:rPr>
                <w:bCs w:val="0"/>
                <w:sz w:val="20"/>
                <w:szCs w:val="20"/>
              </w:rPr>
              <w:t xml:space="preserve">Fon </w:t>
            </w:r>
            <w:r>
              <w:rPr>
                <w:bCs w:val="0"/>
                <w:sz w:val="20"/>
                <w:szCs w:val="20"/>
              </w:rPr>
              <w:br/>
              <w:t>Getirisi</w:t>
            </w:r>
          </w:p>
        </w:tc>
      </w:tr>
      <w:tr w:rsidR="00693105" w:rsidTr="00693105">
        <w:trPr>
          <w:trHeight w:val="276"/>
        </w:trPr>
        <w:tc>
          <w:tcPr>
            <w:tcW w:w="1658" w:type="pct"/>
            <w:vMerge/>
          </w:tcPr>
          <w:p w:rsidR="00693105" w:rsidRDefault="00693105">
            <w:pPr>
              <w:jc w:val="center"/>
              <w:rPr>
                <w:b w:val="0"/>
                <w:bCs w:val="0"/>
                <w:sz w:val="20"/>
                <w:szCs w:val="20"/>
              </w:rPr>
            </w:pPr>
          </w:p>
        </w:tc>
        <w:tc>
          <w:tcPr>
            <w:tcW w:w="1340" w:type="pct"/>
            <w:vMerge/>
          </w:tcPr>
          <w:p w:rsidR="00693105" w:rsidRDefault="00693105">
            <w:pPr>
              <w:jc w:val="center"/>
              <w:rPr>
                <w:b w:val="0"/>
                <w:bCs w:val="0"/>
                <w:sz w:val="20"/>
                <w:szCs w:val="20"/>
              </w:rPr>
            </w:pPr>
          </w:p>
        </w:tc>
        <w:tc>
          <w:tcPr>
            <w:tcW w:w="935" w:type="pct"/>
            <w:vMerge/>
          </w:tcPr>
          <w:p w:rsidR="00693105" w:rsidRDefault="00693105">
            <w:pPr>
              <w:jc w:val="center"/>
              <w:rPr>
                <w:b w:val="0"/>
                <w:bCs w:val="0"/>
                <w:sz w:val="20"/>
                <w:szCs w:val="20"/>
              </w:rPr>
            </w:pPr>
          </w:p>
        </w:tc>
        <w:tc>
          <w:tcPr>
            <w:tcW w:w="1067" w:type="pct"/>
            <w:vMerge/>
          </w:tcPr>
          <w:p w:rsidR="00693105" w:rsidRDefault="00693105">
            <w:pPr>
              <w:jc w:val="center"/>
              <w:rPr>
                <w:b w:val="0"/>
                <w:bCs w:val="0"/>
                <w:sz w:val="20"/>
                <w:szCs w:val="20"/>
              </w:rPr>
            </w:pP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31-01</w:t>
            </w:r>
          </w:p>
        </w:tc>
        <w:tc>
          <w:tcPr>
            <w:tcW w:w="1340" w:type="pct"/>
            <w:noWrap/>
          </w:tcPr>
          <w:p w:rsidR="00693105" w:rsidRDefault="00932466">
            <w:pPr>
              <w:jc w:val="center"/>
              <w:rPr>
                <w:b w:val="0"/>
                <w:bCs w:val="0"/>
                <w:sz w:val="20"/>
                <w:szCs w:val="20"/>
              </w:rPr>
            </w:pPr>
            <w:r>
              <w:rPr>
                <w:b w:val="0"/>
                <w:bCs w:val="0"/>
                <w:sz w:val="20"/>
                <w:szCs w:val="20"/>
              </w:rPr>
              <w:t>43,815</w:t>
            </w:r>
          </w:p>
        </w:tc>
        <w:tc>
          <w:tcPr>
            <w:tcW w:w="935" w:type="pct"/>
            <w:noWrap/>
          </w:tcPr>
          <w:p w:rsidR="00693105" w:rsidRDefault="00932466">
            <w:pPr>
              <w:jc w:val="center"/>
              <w:rPr>
                <w:b w:val="0"/>
                <w:bCs w:val="0"/>
                <w:sz w:val="20"/>
                <w:szCs w:val="20"/>
              </w:rPr>
            </w:pPr>
            <w:r>
              <w:rPr>
                <w:b w:val="0"/>
                <w:bCs w:val="0"/>
                <w:sz w:val="20"/>
                <w:szCs w:val="20"/>
              </w:rPr>
              <w:t>-12.37%</w:t>
            </w:r>
          </w:p>
        </w:tc>
        <w:tc>
          <w:tcPr>
            <w:tcW w:w="1067" w:type="pct"/>
            <w:noWrap/>
          </w:tcPr>
          <w:p w:rsidR="00693105" w:rsidRDefault="00932466">
            <w:pPr>
              <w:jc w:val="center"/>
              <w:rPr>
                <w:b w:val="0"/>
                <w:bCs w:val="0"/>
                <w:sz w:val="20"/>
                <w:szCs w:val="20"/>
              </w:rPr>
            </w:pPr>
            <w:r>
              <w:rPr>
                <w:b w:val="0"/>
                <w:bCs w:val="0"/>
                <w:sz w:val="20"/>
                <w:szCs w:val="20"/>
              </w:rPr>
              <w:t>0.00%</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28-02</w:t>
            </w:r>
          </w:p>
        </w:tc>
        <w:tc>
          <w:tcPr>
            <w:tcW w:w="1340" w:type="pct"/>
            <w:noWrap/>
          </w:tcPr>
          <w:p w:rsidR="00693105" w:rsidRDefault="00932466">
            <w:pPr>
              <w:jc w:val="center"/>
              <w:rPr>
                <w:b w:val="0"/>
                <w:bCs w:val="0"/>
                <w:sz w:val="20"/>
                <w:szCs w:val="20"/>
              </w:rPr>
            </w:pPr>
            <w:r>
              <w:rPr>
                <w:b w:val="0"/>
                <w:bCs w:val="0"/>
                <w:sz w:val="20"/>
                <w:szCs w:val="20"/>
              </w:rPr>
              <w:t>47,095</w:t>
            </w:r>
          </w:p>
        </w:tc>
        <w:tc>
          <w:tcPr>
            <w:tcW w:w="935" w:type="pct"/>
            <w:noWrap/>
          </w:tcPr>
          <w:p w:rsidR="00693105" w:rsidRDefault="00932466">
            <w:pPr>
              <w:jc w:val="center"/>
              <w:rPr>
                <w:b w:val="0"/>
                <w:bCs w:val="0"/>
                <w:sz w:val="20"/>
                <w:szCs w:val="20"/>
              </w:rPr>
            </w:pPr>
            <w:r>
              <w:rPr>
                <w:b w:val="0"/>
                <w:bCs w:val="0"/>
                <w:sz w:val="20"/>
                <w:szCs w:val="20"/>
              </w:rPr>
              <w:t>-5.81%</w:t>
            </w:r>
          </w:p>
        </w:tc>
        <w:tc>
          <w:tcPr>
            <w:tcW w:w="1067" w:type="pct"/>
            <w:noWrap/>
          </w:tcPr>
          <w:p w:rsidR="00693105" w:rsidRDefault="00932466">
            <w:pPr>
              <w:jc w:val="center"/>
              <w:rPr>
                <w:b w:val="0"/>
                <w:bCs w:val="0"/>
                <w:sz w:val="20"/>
                <w:szCs w:val="20"/>
              </w:rPr>
            </w:pPr>
            <w:r>
              <w:rPr>
                <w:b w:val="0"/>
                <w:bCs w:val="0"/>
                <w:sz w:val="20"/>
                <w:szCs w:val="20"/>
              </w:rPr>
              <w:t>0.00%</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31-03</w:t>
            </w:r>
          </w:p>
        </w:tc>
        <w:tc>
          <w:tcPr>
            <w:tcW w:w="1340" w:type="pct"/>
            <w:noWrap/>
          </w:tcPr>
          <w:p w:rsidR="00693105" w:rsidRDefault="00932466">
            <w:pPr>
              <w:jc w:val="center"/>
              <w:rPr>
                <w:b w:val="0"/>
                <w:sz w:val="20"/>
                <w:szCs w:val="20"/>
              </w:rPr>
            </w:pPr>
            <w:r>
              <w:rPr>
                <w:b w:val="0"/>
                <w:sz w:val="20"/>
                <w:szCs w:val="20"/>
              </w:rPr>
              <w:t>50,775</w:t>
            </w:r>
          </w:p>
        </w:tc>
        <w:tc>
          <w:tcPr>
            <w:tcW w:w="935" w:type="pct"/>
            <w:noWrap/>
          </w:tcPr>
          <w:p w:rsidR="00693105" w:rsidRDefault="00932466">
            <w:pPr>
              <w:jc w:val="center"/>
              <w:rPr>
                <w:b w:val="0"/>
                <w:sz w:val="20"/>
                <w:szCs w:val="20"/>
              </w:rPr>
            </w:pPr>
            <w:r>
              <w:rPr>
                <w:b w:val="0"/>
                <w:sz w:val="20"/>
                <w:szCs w:val="20"/>
              </w:rPr>
              <w:t>1.55%</w:t>
            </w:r>
          </w:p>
        </w:tc>
        <w:tc>
          <w:tcPr>
            <w:tcW w:w="1067" w:type="pct"/>
            <w:noWrap/>
          </w:tcPr>
          <w:p w:rsidR="00693105" w:rsidRDefault="00932466">
            <w:pPr>
              <w:jc w:val="center"/>
              <w:rPr>
                <w:b w:val="0"/>
                <w:sz w:val="20"/>
                <w:szCs w:val="20"/>
              </w:rPr>
            </w:pPr>
            <w:r>
              <w:rPr>
                <w:b w:val="0"/>
                <w:sz w:val="20"/>
                <w:szCs w:val="20"/>
              </w:rPr>
              <w:t>1.55%</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30-04</w:t>
            </w:r>
          </w:p>
        </w:tc>
        <w:tc>
          <w:tcPr>
            <w:tcW w:w="1340" w:type="pct"/>
            <w:noWrap/>
          </w:tcPr>
          <w:p w:rsidR="00693105" w:rsidRDefault="00932466">
            <w:pPr>
              <w:jc w:val="center"/>
              <w:rPr>
                <w:b w:val="0"/>
                <w:sz w:val="20"/>
                <w:szCs w:val="20"/>
              </w:rPr>
            </w:pPr>
            <w:r>
              <w:rPr>
                <w:b w:val="0"/>
                <w:sz w:val="20"/>
                <w:szCs w:val="20"/>
              </w:rPr>
              <w:t>53,790</w:t>
            </w:r>
          </w:p>
        </w:tc>
        <w:tc>
          <w:tcPr>
            <w:tcW w:w="935" w:type="pct"/>
            <w:noWrap/>
          </w:tcPr>
          <w:p w:rsidR="00693105" w:rsidRDefault="00932466">
            <w:pPr>
              <w:jc w:val="center"/>
              <w:rPr>
                <w:b w:val="0"/>
                <w:sz w:val="20"/>
                <w:szCs w:val="20"/>
              </w:rPr>
            </w:pPr>
            <w:r>
              <w:rPr>
                <w:b w:val="0"/>
                <w:sz w:val="20"/>
                <w:szCs w:val="20"/>
              </w:rPr>
              <w:t>7.58%</w:t>
            </w:r>
          </w:p>
        </w:tc>
        <w:tc>
          <w:tcPr>
            <w:tcW w:w="1067" w:type="pct"/>
            <w:noWrap/>
          </w:tcPr>
          <w:p w:rsidR="00693105" w:rsidRDefault="00932466">
            <w:pPr>
              <w:jc w:val="center"/>
              <w:rPr>
                <w:b w:val="0"/>
                <w:sz w:val="20"/>
                <w:szCs w:val="20"/>
              </w:rPr>
            </w:pPr>
            <w:r>
              <w:rPr>
                <w:b w:val="0"/>
                <w:sz w:val="20"/>
                <w:szCs w:val="20"/>
              </w:rPr>
              <w:t>7.58%</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31-05</w:t>
            </w:r>
          </w:p>
        </w:tc>
        <w:tc>
          <w:tcPr>
            <w:tcW w:w="1340" w:type="pct"/>
            <w:noWrap/>
          </w:tcPr>
          <w:p w:rsidR="00693105" w:rsidRDefault="00932466">
            <w:pPr>
              <w:jc w:val="center"/>
              <w:rPr>
                <w:b w:val="0"/>
                <w:sz w:val="20"/>
                <w:szCs w:val="20"/>
              </w:rPr>
            </w:pPr>
            <w:r>
              <w:rPr>
                <w:b w:val="0"/>
                <w:sz w:val="20"/>
                <w:szCs w:val="20"/>
              </w:rPr>
              <w:t>55,055</w:t>
            </w:r>
          </w:p>
        </w:tc>
        <w:tc>
          <w:tcPr>
            <w:tcW w:w="935" w:type="pct"/>
            <w:noWrap/>
          </w:tcPr>
          <w:p w:rsidR="00693105" w:rsidRDefault="00932466">
            <w:pPr>
              <w:jc w:val="center"/>
              <w:rPr>
                <w:b w:val="0"/>
                <w:sz w:val="20"/>
                <w:szCs w:val="20"/>
              </w:rPr>
            </w:pPr>
            <w:r>
              <w:rPr>
                <w:b w:val="0"/>
                <w:sz w:val="20"/>
                <w:szCs w:val="20"/>
              </w:rPr>
              <w:t>10.11%</w:t>
            </w:r>
          </w:p>
        </w:tc>
        <w:tc>
          <w:tcPr>
            <w:tcW w:w="1067" w:type="pct"/>
            <w:noWrap/>
          </w:tcPr>
          <w:p w:rsidR="00693105" w:rsidRDefault="00932466">
            <w:pPr>
              <w:jc w:val="center"/>
              <w:rPr>
                <w:b w:val="0"/>
                <w:sz w:val="20"/>
                <w:szCs w:val="20"/>
              </w:rPr>
            </w:pPr>
            <w:r>
              <w:rPr>
                <w:b w:val="0"/>
                <w:sz w:val="20"/>
                <w:szCs w:val="20"/>
              </w:rPr>
              <w:t>10.11%</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30-06</w:t>
            </w:r>
          </w:p>
        </w:tc>
        <w:tc>
          <w:tcPr>
            <w:tcW w:w="1340" w:type="pct"/>
            <w:noWrap/>
          </w:tcPr>
          <w:p w:rsidR="00693105" w:rsidRDefault="00932466">
            <w:pPr>
              <w:jc w:val="center"/>
              <w:rPr>
                <w:b w:val="0"/>
                <w:sz w:val="20"/>
                <w:szCs w:val="20"/>
              </w:rPr>
            </w:pPr>
            <w:r>
              <w:rPr>
                <w:b w:val="0"/>
                <w:sz w:val="20"/>
                <w:szCs w:val="20"/>
              </w:rPr>
              <w:t>51,500</w:t>
            </w:r>
          </w:p>
        </w:tc>
        <w:tc>
          <w:tcPr>
            <w:tcW w:w="935" w:type="pct"/>
            <w:noWrap/>
          </w:tcPr>
          <w:p w:rsidR="00693105" w:rsidRDefault="00932466">
            <w:pPr>
              <w:jc w:val="center"/>
              <w:rPr>
                <w:b w:val="0"/>
                <w:sz w:val="20"/>
                <w:szCs w:val="20"/>
              </w:rPr>
            </w:pPr>
            <w:r>
              <w:rPr>
                <w:b w:val="0"/>
                <w:sz w:val="20"/>
                <w:szCs w:val="20"/>
              </w:rPr>
              <w:t>3.00%</w:t>
            </w:r>
          </w:p>
        </w:tc>
        <w:tc>
          <w:tcPr>
            <w:tcW w:w="1067" w:type="pct"/>
            <w:noWrap/>
          </w:tcPr>
          <w:p w:rsidR="00693105" w:rsidRDefault="00932466">
            <w:pPr>
              <w:jc w:val="center"/>
              <w:rPr>
                <w:b w:val="0"/>
                <w:sz w:val="20"/>
                <w:szCs w:val="20"/>
              </w:rPr>
            </w:pPr>
            <w:r>
              <w:rPr>
                <w:b w:val="0"/>
                <w:sz w:val="20"/>
                <w:szCs w:val="20"/>
              </w:rPr>
              <w:t>3.00%</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31-07</w:t>
            </w:r>
          </w:p>
        </w:tc>
        <w:tc>
          <w:tcPr>
            <w:tcW w:w="1340" w:type="pct"/>
            <w:noWrap/>
          </w:tcPr>
          <w:p w:rsidR="00693105" w:rsidRDefault="00932466">
            <w:pPr>
              <w:jc w:val="center"/>
              <w:rPr>
                <w:b w:val="0"/>
                <w:sz w:val="20"/>
                <w:szCs w:val="20"/>
              </w:rPr>
            </w:pPr>
            <w:r>
              <w:rPr>
                <w:b w:val="0"/>
                <w:sz w:val="20"/>
                <w:szCs w:val="20"/>
              </w:rPr>
              <w:t>53,220</w:t>
            </w:r>
          </w:p>
        </w:tc>
        <w:tc>
          <w:tcPr>
            <w:tcW w:w="935" w:type="pct"/>
            <w:noWrap/>
          </w:tcPr>
          <w:p w:rsidR="00693105" w:rsidRDefault="00932466">
            <w:pPr>
              <w:jc w:val="center"/>
              <w:rPr>
                <w:b w:val="0"/>
                <w:sz w:val="20"/>
                <w:szCs w:val="20"/>
              </w:rPr>
            </w:pPr>
            <w:r>
              <w:rPr>
                <w:b w:val="0"/>
                <w:sz w:val="20"/>
                <w:szCs w:val="20"/>
              </w:rPr>
              <w:t>6.44%</w:t>
            </w:r>
          </w:p>
        </w:tc>
        <w:tc>
          <w:tcPr>
            <w:tcW w:w="1067" w:type="pct"/>
            <w:noWrap/>
          </w:tcPr>
          <w:p w:rsidR="00693105" w:rsidRDefault="00932466">
            <w:pPr>
              <w:jc w:val="center"/>
              <w:rPr>
                <w:b w:val="0"/>
                <w:sz w:val="20"/>
                <w:szCs w:val="20"/>
              </w:rPr>
            </w:pPr>
            <w:r>
              <w:rPr>
                <w:b w:val="0"/>
                <w:sz w:val="20"/>
                <w:szCs w:val="20"/>
              </w:rPr>
              <w:t>6.44%</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31-08</w:t>
            </w:r>
          </w:p>
        </w:tc>
        <w:tc>
          <w:tcPr>
            <w:tcW w:w="1340" w:type="pct"/>
            <w:noWrap/>
          </w:tcPr>
          <w:p w:rsidR="00693105" w:rsidRDefault="00932466">
            <w:pPr>
              <w:jc w:val="center"/>
              <w:rPr>
                <w:b w:val="0"/>
                <w:sz w:val="20"/>
                <w:szCs w:val="20"/>
              </w:rPr>
            </w:pPr>
            <w:r>
              <w:rPr>
                <w:b w:val="0"/>
                <w:sz w:val="20"/>
                <w:szCs w:val="20"/>
              </w:rPr>
              <w:t>55,920</w:t>
            </w:r>
          </w:p>
        </w:tc>
        <w:tc>
          <w:tcPr>
            <w:tcW w:w="935" w:type="pct"/>
            <w:noWrap/>
          </w:tcPr>
          <w:p w:rsidR="00693105" w:rsidRDefault="00932466">
            <w:pPr>
              <w:jc w:val="center"/>
              <w:rPr>
                <w:b w:val="0"/>
                <w:sz w:val="20"/>
                <w:szCs w:val="20"/>
              </w:rPr>
            </w:pPr>
            <w:r>
              <w:rPr>
                <w:b w:val="0"/>
                <w:sz w:val="20"/>
                <w:szCs w:val="20"/>
              </w:rPr>
              <w:t>11.84%</w:t>
            </w:r>
          </w:p>
        </w:tc>
        <w:tc>
          <w:tcPr>
            <w:tcW w:w="1067" w:type="pct"/>
            <w:noWrap/>
          </w:tcPr>
          <w:p w:rsidR="00693105" w:rsidRDefault="00932466">
            <w:pPr>
              <w:jc w:val="center"/>
              <w:rPr>
                <w:b w:val="0"/>
                <w:sz w:val="20"/>
                <w:szCs w:val="20"/>
              </w:rPr>
            </w:pPr>
            <w:r>
              <w:rPr>
                <w:b w:val="0"/>
                <w:sz w:val="20"/>
                <w:szCs w:val="20"/>
              </w:rPr>
              <w:t>11.84%</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30-09</w:t>
            </w:r>
          </w:p>
        </w:tc>
        <w:tc>
          <w:tcPr>
            <w:tcW w:w="1340" w:type="pct"/>
            <w:noWrap/>
          </w:tcPr>
          <w:p w:rsidR="00693105" w:rsidRDefault="00932466">
            <w:pPr>
              <w:jc w:val="center"/>
              <w:rPr>
                <w:b w:val="0"/>
                <w:sz w:val="20"/>
                <w:szCs w:val="20"/>
              </w:rPr>
            </w:pPr>
            <w:r>
              <w:rPr>
                <w:b w:val="0"/>
                <w:sz w:val="20"/>
                <w:szCs w:val="20"/>
              </w:rPr>
              <w:t>60,235</w:t>
            </w:r>
          </w:p>
        </w:tc>
        <w:tc>
          <w:tcPr>
            <w:tcW w:w="935" w:type="pct"/>
            <w:noWrap/>
          </w:tcPr>
          <w:p w:rsidR="00693105" w:rsidRDefault="00932466">
            <w:pPr>
              <w:jc w:val="center"/>
              <w:rPr>
                <w:b w:val="0"/>
                <w:bCs w:val="0"/>
                <w:sz w:val="20"/>
                <w:szCs w:val="20"/>
              </w:rPr>
            </w:pPr>
            <w:r>
              <w:rPr>
                <w:b w:val="0"/>
                <w:bCs w:val="0"/>
                <w:sz w:val="20"/>
                <w:szCs w:val="20"/>
              </w:rPr>
              <w:t>20.47%</w:t>
            </w:r>
          </w:p>
        </w:tc>
        <w:tc>
          <w:tcPr>
            <w:tcW w:w="1067" w:type="pct"/>
            <w:noWrap/>
          </w:tcPr>
          <w:p w:rsidR="00693105" w:rsidRDefault="00932466">
            <w:pPr>
              <w:jc w:val="center"/>
              <w:rPr>
                <w:b w:val="0"/>
                <w:bCs w:val="0"/>
                <w:sz w:val="20"/>
                <w:szCs w:val="20"/>
              </w:rPr>
            </w:pPr>
            <w:r>
              <w:rPr>
                <w:b w:val="0"/>
                <w:bCs w:val="0"/>
                <w:sz w:val="20"/>
                <w:szCs w:val="20"/>
              </w:rPr>
              <w:t>20.47%</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31-10</w:t>
            </w:r>
          </w:p>
        </w:tc>
        <w:tc>
          <w:tcPr>
            <w:tcW w:w="1340" w:type="pct"/>
            <w:noWrap/>
          </w:tcPr>
          <w:p w:rsidR="00693105" w:rsidRDefault="00932466">
            <w:pPr>
              <w:jc w:val="center"/>
              <w:rPr>
                <w:b w:val="0"/>
                <w:sz w:val="20"/>
                <w:szCs w:val="20"/>
              </w:rPr>
            </w:pPr>
            <w:r>
              <w:rPr>
                <w:b w:val="0"/>
                <w:sz w:val="20"/>
                <w:szCs w:val="20"/>
              </w:rPr>
              <w:t>61,540</w:t>
            </w:r>
          </w:p>
        </w:tc>
        <w:tc>
          <w:tcPr>
            <w:tcW w:w="935" w:type="pct"/>
            <w:noWrap/>
          </w:tcPr>
          <w:p w:rsidR="00693105" w:rsidRDefault="00932466">
            <w:pPr>
              <w:jc w:val="center"/>
              <w:rPr>
                <w:b w:val="0"/>
                <w:bCs w:val="0"/>
                <w:sz w:val="20"/>
                <w:szCs w:val="20"/>
              </w:rPr>
            </w:pPr>
            <w:r>
              <w:rPr>
                <w:b w:val="0"/>
                <w:bCs w:val="0"/>
                <w:sz w:val="20"/>
                <w:szCs w:val="20"/>
              </w:rPr>
              <w:t>23.08%</w:t>
            </w:r>
          </w:p>
        </w:tc>
        <w:tc>
          <w:tcPr>
            <w:tcW w:w="1067" w:type="pct"/>
            <w:noWrap/>
          </w:tcPr>
          <w:p w:rsidR="00693105" w:rsidRDefault="00932466">
            <w:pPr>
              <w:jc w:val="center"/>
              <w:rPr>
                <w:b w:val="0"/>
                <w:bCs w:val="0"/>
                <w:sz w:val="20"/>
                <w:szCs w:val="20"/>
              </w:rPr>
            </w:pPr>
            <w:r>
              <w:rPr>
                <w:b w:val="0"/>
                <w:bCs w:val="0"/>
                <w:sz w:val="20"/>
                <w:szCs w:val="20"/>
              </w:rPr>
              <w:t>23.08%</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30-11</w:t>
            </w:r>
          </w:p>
        </w:tc>
        <w:tc>
          <w:tcPr>
            <w:tcW w:w="1340" w:type="pct"/>
            <w:noWrap/>
          </w:tcPr>
          <w:p w:rsidR="00693105" w:rsidRDefault="00932466">
            <w:pPr>
              <w:jc w:val="center"/>
              <w:rPr>
                <w:b w:val="0"/>
                <w:sz w:val="20"/>
                <w:szCs w:val="20"/>
              </w:rPr>
            </w:pPr>
            <w:r>
              <w:rPr>
                <w:b w:val="0"/>
                <w:sz w:val="20"/>
                <w:szCs w:val="20"/>
              </w:rPr>
              <w:t>65,305</w:t>
            </w:r>
          </w:p>
        </w:tc>
        <w:tc>
          <w:tcPr>
            <w:tcW w:w="935" w:type="pct"/>
            <w:noWrap/>
          </w:tcPr>
          <w:p w:rsidR="00693105" w:rsidRDefault="00932466">
            <w:pPr>
              <w:jc w:val="center"/>
              <w:rPr>
                <w:b w:val="0"/>
                <w:bCs w:val="0"/>
                <w:sz w:val="20"/>
                <w:szCs w:val="20"/>
              </w:rPr>
            </w:pPr>
            <w:r>
              <w:rPr>
                <w:b w:val="0"/>
                <w:bCs w:val="0"/>
                <w:sz w:val="20"/>
                <w:szCs w:val="20"/>
              </w:rPr>
              <w:t>30.61%</w:t>
            </w:r>
          </w:p>
        </w:tc>
        <w:tc>
          <w:tcPr>
            <w:tcW w:w="1067" w:type="pct"/>
            <w:noWrap/>
          </w:tcPr>
          <w:p w:rsidR="00693105" w:rsidRDefault="00932466">
            <w:pPr>
              <w:jc w:val="center"/>
              <w:rPr>
                <w:b w:val="0"/>
                <w:bCs w:val="0"/>
                <w:sz w:val="20"/>
                <w:szCs w:val="20"/>
              </w:rPr>
            </w:pPr>
            <w:r>
              <w:rPr>
                <w:b w:val="0"/>
                <w:bCs w:val="0"/>
                <w:sz w:val="20"/>
                <w:szCs w:val="20"/>
              </w:rPr>
              <w:t>30.61%</w:t>
            </w:r>
          </w:p>
        </w:tc>
      </w:tr>
      <w:tr w:rsidR="00693105" w:rsidTr="00693105">
        <w:trPr>
          <w:trHeight w:val="240"/>
        </w:trPr>
        <w:tc>
          <w:tcPr>
            <w:tcW w:w="1658" w:type="pct"/>
            <w:noWrap/>
          </w:tcPr>
          <w:p w:rsidR="00693105" w:rsidRDefault="00932466">
            <w:pPr>
              <w:jc w:val="center"/>
              <w:rPr>
                <w:b w:val="0"/>
                <w:sz w:val="20"/>
                <w:szCs w:val="20"/>
              </w:rPr>
            </w:pPr>
            <w:r>
              <w:rPr>
                <w:b w:val="0"/>
                <w:sz w:val="20"/>
                <w:szCs w:val="20"/>
              </w:rPr>
              <w:t>31-12* / 31-12</w:t>
            </w:r>
          </w:p>
        </w:tc>
        <w:tc>
          <w:tcPr>
            <w:tcW w:w="1340" w:type="pct"/>
            <w:noWrap/>
          </w:tcPr>
          <w:p w:rsidR="00693105" w:rsidRDefault="00932466">
            <w:pPr>
              <w:jc w:val="center"/>
              <w:rPr>
                <w:b w:val="0"/>
                <w:sz w:val="20"/>
                <w:szCs w:val="20"/>
              </w:rPr>
            </w:pPr>
            <w:r>
              <w:rPr>
                <w:b w:val="0"/>
                <w:sz w:val="20"/>
                <w:szCs w:val="20"/>
              </w:rPr>
              <w:t>66,615</w:t>
            </w:r>
          </w:p>
        </w:tc>
        <w:tc>
          <w:tcPr>
            <w:tcW w:w="935" w:type="pct"/>
            <w:noWrap/>
          </w:tcPr>
          <w:p w:rsidR="00693105" w:rsidRDefault="00932466">
            <w:pPr>
              <w:jc w:val="center"/>
              <w:rPr>
                <w:b w:val="0"/>
                <w:bCs w:val="0"/>
                <w:sz w:val="20"/>
                <w:szCs w:val="20"/>
              </w:rPr>
            </w:pPr>
            <w:r>
              <w:rPr>
                <w:b w:val="0"/>
                <w:bCs w:val="0"/>
                <w:sz w:val="20"/>
                <w:szCs w:val="20"/>
              </w:rPr>
              <w:t>33.23%</w:t>
            </w:r>
          </w:p>
        </w:tc>
        <w:tc>
          <w:tcPr>
            <w:tcW w:w="1067" w:type="pct"/>
            <w:noWrap/>
          </w:tcPr>
          <w:p w:rsidR="00693105" w:rsidRDefault="00932466">
            <w:pPr>
              <w:jc w:val="center"/>
              <w:rPr>
                <w:b w:val="0"/>
                <w:bCs w:val="0"/>
                <w:sz w:val="20"/>
                <w:szCs w:val="20"/>
              </w:rPr>
            </w:pPr>
            <w:r>
              <w:rPr>
                <w:b w:val="0"/>
                <w:bCs w:val="0"/>
                <w:sz w:val="20"/>
                <w:szCs w:val="20"/>
              </w:rPr>
              <w:t>33.23%</w:t>
            </w:r>
          </w:p>
        </w:tc>
      </w:tr>
      <w:tr w:rsidR="00693105" w:rsidTr="00693105">
        <w:trPr>
          <w:trHeight w:val="285"/>
        </w:trPr>
        <w:tc>
          <w:tcPr>
            <w:tcW w:w="1658" w:type="pct"/>
            <w:noWrap/>
          </w:tcPr>
          <w:p w:rsidR="00693105" w:rsidRDefault="00932466">
            <w:pPr>
              <w:jc w:val="center"/>
              <w:rPr>
                <w:bCs w:val="0"/>
                <w:sz w:val="20"/>
                <w:szCs w:val="20"/>
              </w:rPr>
            </w:pPr>
            <w:r>
              <w:rPr>
                <w:bCs w:val="0"/>
                <w:sz w:val="20"/>
                <w:szCs w:val="20"/>
              </w:rPr>
              <w:t>Toplam Getiri</w:t>
            </w:r>
          </w:p>
        </w:tc>
        <w:tc>
          <w:tcPr>
            <w:tcW w:w="1340" w:type="pct"/>
            <w:noWrap/>
          </w:tcPr>
          <w:p w:rsidR="00693105" w:rsidRDefault="00932466">
            <w:pPr>
              <w:jc w:val="center"/>
              <w:rPr>
                <w:bCs w:val="0"/>
                <w:sz w:val="20"/>
                <w:szCs w:val="20"/>
              </w:rPr>
            </w:pPr>
            <w:r>
              <w:rPr>
                <w:bCs w:val="0"/>
                <w:sz w:val="20"/>
                <w:szCs w:val="20"/>
              </w:rPr>
              <w:t>-</w:t>
            </w:r>
          </w:p>
        </w:tc>
        <w:tc>
          <w:tcPr>
            <w:tcW w:w="935" w:type="pct"/>
            <w:noWrap/>
          </w:tcPr>
          <w:p w:rsidR="00693105" w:rsidRDefault="00932466">
            <w:pPr>
              <w:jc w:val="center"/>
              <w:rPr>
                <w:bCs w:val="0"/>
                <w:sz w:val="20"/>
                <w:szCs w:val="20"/>
              </w:rPr>
            </w:pPr>
            <w:r>
              <w:rPr>
                <w:bCs w:val="0"/>
                <w:sz w:val="20"/>
                <w:szCs w:val="20"/>
              </w:rPr>
              <w:t>33.23%</w:t>
            </w:r>
          </w:p>
        </w:tc>
        <w:tc>
          <w:tcPr>
            <w:tcW w:w="1067" w:type="pct"/>
            <w:noWrap/>
          </w:tcPr>
          <w:p w:rsidR="00693105" w:rsidRDefault="00932466">
            <w:pPr>
              <w:jc w:val="center"/>
              <w:rPr>
                <w:bCs w:val="0"/>
                <w:sz w:val="20"/>
                <w:szCs w:val="20"/>
              </w:rPr>
            </w:pPr>
            <w:r>
              <w:rPr>
                <w:bCs w:val="0"/>
                <w:sz w:val="20"/>
                <w:szCs w:val="20"/>
              </w:rPr>
              <w:t>9.86%</w:t>
            </w:r>
          </w:p>
        </w:tc>
      </w:tr>
    </w:tbl>
    <w:p w:rsidR="00693105" w:rsidRDefault="00693105">
      <w:pPr>
        <w:rPr>
          <w:color w:val="000000"/>
        </w:rPr>
      </w:pPr>
    </w:p>
    <w:p w:rsidR="00693105" w:rsidRDefault="00693105">
      <w:pPr>
        <w:rPr>
          <w:color w:val="000000"/>
        </w:rPr>
      </w:pPr>
    </w:p>
    <w:p w:rsidR="00693105" w:rsidRDefault="00932466">
      <w:pPr>
        <w:rPr>
          <w:b/>
          <w:color w:val="000000"/>
        </w:rPr>
      </w:pPr>
      <w:r>
        <w:rPr>
          <w:color w:val="000000"/>
        </w:rPr>
        <w:t xml:space="preserve">2. </w:t>
      </w:r>
      <w:r>
        <w:rPr>
          <w:b/>
          <w:color w:val="000000"/>
        </w:rPr>
        <w:t>Getiri Elde Edilememesine İlişkin Örnek Hesaplama Tablosu</w:t>
      </w:r>
    </w:p>
    <w:p w:rsidR="00693105" w:rsidRDefault="00693105">
      <w:pPr>
        <w:rPr>
          <w:b/>
          <w:color w:val="000000"/>
        </w:rPr>
      </w:pPr>
    </w:p>
    <w:tbl>
      <w:tblPr>
        <w:tblStyle w:val="TableGrid7"/>
        <w:tblW w:w="5037" w:type="pct"/>
        <w:jc w:val="center"/>
        <w:tblLook w:val="0000" w:firstRow="0" w:lastRow="0" w:firstColumn="0" w:lastColumn="0" w:noHBand="0" w:noVBand="0"/>
      </w:tblPr>
      <w:tblGrid>
        <w:gridCol w:w="3194"/>
        <w:gridCol w:w="2579"/>
        <w:gridCol w:w="1799"/>
        <w:gridCol w:w="2217"/>
        <w:gridCol w:w="39"/>
      </w:tblGrid>
      <w:tr w:rsidR="00693105" w:rsidTr="00693105">
        <w:trPr>
          <w:trHeight w:val="276"/>
          <w:jc w:val="center"/>
        </w:trPr>
        <w:tc>
          <w:tcPr>
            <w:tcW w:w="1625" w:type="pct"/>
            <w:vMerge w:val="restart"/>
          </w:tcPr>
          <w:p w:rsidR="00693105" w:rsidRDefault="00932466">
            <w:pPr>
              <w:jc w:val="center"/>
              <w:rPr>
                <w:bCs w:val="0"/>
                <w:sz w:val="20"/>
                <w:szCs w:val="20"/>
              </w:rPr>
            </w:pPr>
            <w:r>
              <w:rPr>
                <w:bCs w:val="0"/>
                <w:sz w:val="20"/>
                <w:szCs w:val="20"/>
              </w:rPr>
              <w:t>Dönemler</w:t>
            </w:r>
          </w:p>
        </w:tc>
        <w:tc>
          <w:tcPr>
            <w:tcW w:w="1312" w:type="pct"/>
            <w:vMerge w:val="restart"/>
          </w:tcPr>
          <w:p w:rsidR="00693105" w:rsidRDefault="00932466">
            <w:pPr>
              <w:jc w:val="center"/>
              <w:rPr>
                <w:bCs w:val="0"/>
                <w:sz w:val="20"/>
                <w:szCs w:val="20"/>
              </w:rPr>
            </w:pPr>
            <w:r>
              <w:rPr>
                <w:bCs w:val="0"/>
                <w:sz w:val="20"/>
                <w:szCs w:val="20"/>
              </w:rPr>
              <w:t xml:space="preserve">Endeks </w:t>
            </w:r>
            <w:r>
              <w:rPr>
                <w:bCs w:val="0"/>
                <w:sz w:val="20"/>
                <w:szCs w:val="20"/>
              </w:rPr>
              <w:br/>
              <w:t>Değeri</w:t>
            </w:r>
          </w:p>
        </w:tc>
        <w:tc>
          <w:tcPr>
            <w:tcW w:w="915" w:type="pct"/>
            <w:vMerge w:val="restart"/>
          </w:tcPr>
          <w:p w:rsidR="00693105" w:rsidRDefault="00932466">
            <w:pPr>
              <w:jc w:val="center"/>
              <w:rPr>
                <w:bCs w:val="0"/>
                <w:sz w:val="20"/>
                <w:szCs w:val="20"/>
              </w:rPr>
            </w:pPr>
            <w:r>
              <w:rPr>
                <w:bCs w:val="0"/>
                <w:sz w:val="20"/>
                <w:szCs w:val="20"/>
              </w:rPr>
              <w:t xml:space="preserve">Endeks </w:t>
            </w:r>
            <w:r>
              <w:rPr>
                <w:bCs w:val="0"/>
                <w:sz w:val="20"/>
                <w:szCs w:val="20"/>
              </w:rPr>
              <w:br/>
              <w:t>Getiri</w:t>
            </w:r>
          </w:p>
        </w:tc>
        <w:tc>
          <w:tcPr>
            <w:tcW w:w="1148" w:type="pct"/>
            <w:gridSpan w:val="2"/>
            <w:vMerge w:val="restart"/>
          </w:tcPr>
          <w:p w:rsidR="00693105" w:rsidRDefault="00932466">
            <w:pPr>
              <w:jc w:val="center"/>
              <w:rPr>
                <w:bCs w:val="0"/>
                <w:sz w:val="20"/>
                <w:szCs w:val="20"/>
              </w:rPr>
            </w:pPr>
            <w:r>
              <w:rPr>
                <w:bCs w:val="0"/>
                <w:sz w:val="20"/>
                <w:szCs w:val="20"/>
              </w:rPr>
              <w:t xml:space="preserve">Fon </w:t>
            </w:r>
            <w:r>
              <w:rPr>
                <w:bCs w:val="0"/>
                <w:sz w:val="20"/>
                <w:szCs w:val="20"/>
              </w:rPr>
              <w:br/>
              <w:t>Getirisi</w:t>
            </w:r>
          </w:p>
        </w:tc>
      </w:tr>
      <w:tr w:rsidR="00693105" w:rsidTr="00693105">
        <w:trPr>
          <w:trHeight w:val="276"/>
          <w:jc w:val="center"/>
        </w:trPr>
        <w:tc>
          <w:tcPr>
            <w:tcW w:w="1625" w:type="pct"/>
            <w:vMerge/>
          </w:tcPr>
          <w:p w:rsidR="00693105" w:rsidRDefault="00693105">
            <w:pPr>
              <w:jc w:val="center"/>
              <w:rPr>
                <w:bCs w:val="0"/>
                <w:sz w:val="20"/>
                <w:szCs w:val="20"/>
              </w:rPr>
            </w:pPr>
          </w:p>
        </w:tc>
        <w:tc>
          <w:tcPr>
            <w:tcW w:w="1312" w:type="pct"/>
            <w:vMerge/>
          </w:tcPr>
          <w:p w:rsidR="00693105" w:rsidRDefault="00693105">
            <w:pPr>
              <w:jc w:val="center"/>
              <w:rPr>
                <w:bCs w:val="0"/>
                <w:sz w:val="20"/>
                <w:szCs w:val="20"/>
              </w:rPr>
            </w:pPr>
          </w:p>
        </w:tc>
        <w:tc>
          <w:tcPr>
            <w:tcW w:w="915" w:type="pct"/>
            <w:vMerge/>
          </w:tcPr>
          <w:p w:rsidR="00693105" w:rsidRDefault="00693105">
            <w:pPr>
              <w:jc w:val="center"/>
              <w:rPr>
                <w:bCs w:val="0"/>
                <w:sz w:val="20"/>
                <w:szCs w:val="20"/>
              </w:rPr>
            </w:pPr>
          </w:p>
        </w:tc>
        <w:tc>
          <w:tcPr>
            <w:tcW w:w="1148" w:type="pct"/>
            <w:gridSpan w:val="2"/>
            <w:vMerge/>
          </w:tcPr>
          <w:p w:rsidR="00693105" w:rsidRDefault="00693105">
            <w:pPr>
              <w:jc w:val="center"/>
              <w:rPr>
                <w:bCs w:val="0"/>
                <w:sz w:val="20"/>
                <w:szCs w:val="20"/>
              </w:rPr>
            </w:pPr>
          </w:p>
        </w:tc>
      </w:tr>
      <w:tr w:rsidR="00693105" w:rsidTr="00693105">
        <w:trPr>
          <w:gridAfter w:val="1"/>
          <w:wAfter w:w="20" w:type="pct"/>
          <w:trHeight w:val="225"/>
          <w:jc w:val="center"/>
        </w:trPr>
        <w:tc>
          <w:tcPr>
            <w:tcW w:w="1625" w:type="pct"/>
            <w:noWrap/>
          </w:tcPr>
          <w:p w:rsidR="00693105" w:rsidRDefault="00932466">
            <w:pPr>
              <w:jc w:val="center"/>
              <w:rPr>
                <w:b w:val="0"/>
                <w:bCs w:val="0"/>
                <w:sz w:val="20"/>
                <w:szCs w:val="20"/>
              </w:rPr>
            </w:pPr>
            <w:r>
              <w:rPr>
                <w:b w:val="0"/>
                <w:bCs w:val="0"/>
                <w:sz w:val="20"/>
                <w:szCs w:val="20"/>
              </w:rPr>
              <w:t>31-12* / 31-01</w:t>
            </w:r>
          </w:p>
        </w:tc>
        <w:tc>
          <w:tcPr>
            <w:tcW w:w="1312" w:type="pct"/>
            <w:noWrap/>
          </w:tcPr>
          <w:p w:rsidR="00693105" w:rsidRDefault="00932466">
            <w:pPr>
              <w:jc w:val="center"/>
              <w:rPr>
                <w:b w:val="0"/>
                <w:bCs w:val="0"/>
                <w:sz w:val="20"/>
                <w:szCs w:val="20"/>
              </w:rPr>
            </w:pPr>
            <w:r>
              <w:rPr>
                <w:b w:val="0"/>
                <w:bCs w:val="0"/>
                <w:sz w:val="20"/>
                <w:szCs w:val="20"/>
              </w:rPr>
              <w:t xml:space="preserve">           49,750    </w:t>
            </w:r>
          </w:p>
        </w:tc>
        <w:tc>
          <w:tcPr>
            <w:tcW w:w="915" w:type="pct"/>
            <w:noWrap/>
          </w:tcPr>
          <w:p w:rsidR="00693105" w:rsidRDefault="00932466">
            <w:pPr>
              <w:jc w:val="center"/>
              <w:rPr>
                <w:b w:val="0"/>
                <w:bCs w:val="0"/>
                <w:sz w:val="20"/>
                <w:szCs w:val="20"/>
              </w:rPr>
            </w:pPr>
            <w:r>
              <w:rPr>
                <w:b w:val="0"/>
                <w:bCs w:val="0"/>
                <w:sz w:val="20"/>
                <w:szCs w:val="20"/>
              </w:rPr>
              <w:t>-0.50%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25"/>
          <w:jc w:val="center"/>
        </w:trPr>
        <w:tc>
          <w:tcPr>
            <w:tcW w:w="1625" w:type="pct"/>
            <w:noWrap/>
          </w:tcPr>
          <w:p w:rsidR="00693105" w:rsidRDefault="00932466">
            <w:pPr>
              <w:jc w:val="center"/>
              <w:rPr>
                <w:b w:val="0"/>
                <w:bCs w:val="0"/>
                <w:sz w:val="20"/>
                <w:szCs w:val="20"/>
              </w:rPr>
            </w:pPr>
            <w:r>
              <w:rPr>
                <w:b w:val="0"/>
                <w:bCs w:val="0"/>
                <w:sz w:val="20"/>
                <w:szCs w:val="20"/>
              </w:rPr>
              <w:t>31-12* / 28-02</w:t>
            </w:r>
          </w:p>
        </w:tc>
        <w:tc>
          <w:tcPr>
            <w:tcW w:w="1312" w:type="pct"/>
            <w:noWrap/>
          </w:tcPr>
          <w:p w:rsidR="00693105" w:rsidRDefault="00932466">
            <w:pPr>
              <w:jc w:val="center"/>
              <w:rPr>
                <w:b w:val="0"/>
                <w:bCs w:val="0"/>
                <w:sz w:val="20"/>
                <w:szCs w:val="20"/>
              </w:rPr>
            </w:pPr>
            <w:r>
              <w:rPr>
                <w:b w:val="0"/>
                <w:bCs w:val="0"/>
                <w:sz w:val="20"/>
                <w:szCs w:val="20"/>
              </w:rPr>
              <w:t xml:space="preserve">           48,500    </w:t>
            </w:r>
          </w:p>
        </w:tc>
        <w:tc>
          <w:tcPr>
            <w:tcW w:w="915" w:type="pct"/>
            <w:noWrap/>
          </w:tcPr>
          <w:p w:rsidR="00693105" w:rsidRDefault="00932466">
            <w:pPr>
              <w:jc w:val="center"/>
              <w:rPr>
                <w:b w:val="0"/>
                <w:bCs w:val="0"/>
                <w:sz w:val="20"/>
                <w:szCs w:val="20"/>
              </w:rPr>
            </w:pPr>
            <w:r>
              <w:rPr>
                <w:b w:val="0"/>
                <w:bCs w:val="0"/>
                <w:sz w:val="20"/>
                <w:szCs w:val="20"/>
              </w:rPr>
              <w:t>-3.00%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31-03</w:t>
            </w:r>
          </w:p>
        </w:tc>
        <w:tc>
          <w:tcPr>
            <w:tcW w:w="1312" w:type="pct"/>
            <w:noWrap/>
          </w:tcPr>
          <w:p w:rsidR="00693105" w:rsidRDefault="00932466">
            <w:pPr>
              <w:jc w:val="center"/>
              <w:rPr>
                <w:b w:val="0"/>
                <w:bCs w:val="0"/>
                <w:sz w:val="20"/>
                <w:szCs w:val="20"/>
              </w:rPr>
            </w:pPr>
            <w:r>
              <w:rPr>
                <w:b w:val="0"/>
                <w:bCs w:val="0"/>
                <w:sz w:val="20"/>
                <w:szCs w:val="20"/>
              </w:rPr>
              <w:t xml:space="preserve">           49,800    </w:t>
            </w:r>
          </w:p>
        </w:tc>
        <w:tc>
          <w:tcPr>
            <w:tcW w:w="915" w:type="pct"/>
            <w:noWrap/>
          </w:tcPr>
          <w:p w:rsidR="00693105" w:rsidRDefault="00932466">
            <w:pPr>
              <w:jc w:val="center"/>
              <w:rPr>
                <w:b w:val="0"/>
                <w:bCs w:val="0"/>
                <w:sz w:val="20"/>
                <w:szCs w:val="20"/>
              </w:rPr>
            </w:pPr>
            <w:r>
              <w:rPr>
                <w:b w:val="0"/>
                <w:bCs w:val="0"/>
                <w:sz w:val="20"/>
                <w:szCs w:val="20"/>
              </w:rPr>
              <w:t>-0.40%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30-04</w:t>
            </w:r>
          </w:p>
        </w:tc>
        <w:tc>
          <w:tcPr>
            <w:tcW w:w="1312" w:type="pct"/>
            <w:noWrap/>
          </w:tcPr>
          <w:p w:rsidR="00693105" w:rsidRDefault="00932466">
            <w:pPr>
              <w:jc w:val="center"/>
              <w:rPr>
                <w:b w:val="0"/>
                <w:bCs w:val="0"/>
                <w:sz w:val="20"/>
                <w:szCs w:val="20"/>
              </w:rPr>
            </w:pPr>
            <w:r>
              <w:rPr>
                <w:b w:val="0"/>
                <w:bCs w:val="0"/>
                <w:sz w:val="20"/>
                <w:szCs w:val="20"/>
              </w:rPr>
              <w:t xml:space="preserve">         49,550    </w:t>
            </w:r>
          </w:p>
        </w:tc>
        <w:tc>
          <w:tcPr>
            <w:tcW w:w="915" w:type="pct"/>
            <w:noWrap/>
          </w:tcPr>
          <w:p w:rsidR="00693105" w:rsidRDefault="00932466">
            <w:pPr>
              <w:jc w:val="center"/>
              <w:rPr>
                <w:b w:val="0"/>
                <w:bCs w:val="0"/>
                <w:sz w:val="20"/>
                <w:szCs w:val="20"/>
              </w:rPr>
            </w:pPr>
            <w:r>
              <w:rPr>
                <w:b w:val="0"/>
                <w:bCs w:val="0"/>
                <w:sz w:val="20"/>
                <w:szCs w:val="20"/>
              </w:rPr>
              <w:t>-0.90%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31-05</w:t>
            </w:r>
          </w:p>
        </w:tc>
        <w:tc>
          <w:tcPr>
            <w:tcW w:w="1312" w:type="pct"/>
            <w:noWrap/>
          </w:tcPr>
          <w:p w:rsidR="00693105" w:rsidRDefault="00932466">
            <w:pPr>
              <w:jc w:val="center"/>
              <w:rPr>
                <w:b w:val="0"/>
                <w:bCs w:val="0"/>
                <w:sz w:val="20"/>
                <w:szCs w:val="20"/>
              </w:rPr>
            </w:pPr>
            <w:r>
              <w:rPr>
                <w:b w:val="0"/>
                <w:bCs w:val="0"/>
                <w:sz w:val="20"/>
                <w:szCs w:val="20"/>
              </w:rPr>
              <w:t xml:space="preserve">         47,800    </w:t>
            </w:r>
          </w:p>
        </w:tc>
        <w:tc>
          <w:tcPr>
            <w:tcW w:w="915" w:type="pct"/>
            <w:noWrap/>
          </w:tcPr>
          <w:p w:rsidR="00693105" w:rsidRDefault="00932466">
            <w:pPr>
              <w:jc w:val="center"/>
              <w:rPr>
                <w:b w:val="0"/>
                <w:bCs w:val="0"/>
                <w:sz w:val="20"/>
                <w:szCs w:val="20"/>
              </w:rPr>
            </w:pPr>
            <w:r>
              <w:rPr>
                <w:b w:val="0"/>
                <w:bCs w:val="0"/>
                <w:sz w:val="20"/>
                <w:szCs w:val="20"/>
              </w:rPr>
              <w:t>-4.40%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30-06</w:t>
            </w:r>
          </w:p>
        </w:tc>
        <w:tc>
          <w:tcPr>
            <w:tcW w:w="1312" w:type="pct"/>
            <w:noWrap/>
          </w:tcPr>
          <w:p w:rsidR="00693105" w:rsidRDefault="00932466">
            <w:pPr>
              <w:jc w:val="center"/>
              <w:rPr>
                <w:b w:val="0"/>
                <w:bCs w:val="0"/>
                <w:sz w:val="20"/>
                <w:szCs w:val="20"/>
              </w:rPr>
            </w:pPr>
            <w:r>
              <w:rPr>
                <w:b w:val="0"/>
                <w:bCs w:val="0"/>
                <w:sz w:val="20"/>
                <w:szCs w:val="20"/>
              </w:rPr>
              <w:t xml:space="preserve">           48,650    </w:t>
            </w:r>
          </w:p>
        </w:tc>
        <w:tc>
          <w:tcPr>
            <w:tcW w:w="915" w:type="pct"/>
            <w:noWrap/>
          </w:tcPr>
          <w:p w:rsidR="00693105" w:rsidRDefault="00932466">
            <w:pPr>
              <w:jc w:val="center"/>
              <w:rPr>
                <w:b w:val="0"/>
                <w:bCs w:val="0"/>
                <w:sz w:val="20"/>
                <w:szCs w:val="20"/>
              </w:rPr>
            </w:pPr>
            <w:r>
              <w:rPr>
                <w:b w:val="0"/>
                <w:bCs w:val="0"/>
                <w:sz w:val="20"/>
                <w:szCs w:val="20"/>
              </w:rPr>
              <w:t>-2.70%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31-07</w:t>
            </w:r>
          </w:p>
        </w:tc>
        <w:tc>
          <w:tcPr>
            <w:tcW w:w="1312" w:type="pct"/>
            <w:noWrap/>
          </w:tcPr>
          <w:p w:rsidR="00693105" w:rsidRDefault="00932466">
            <w:pPr>
              <w:jc w:val="center"/>
              <w:rPr>
                <w:b w:val="0"/>
                <w:bCs w:val="0"/>
                <w:sz w:val="20"/>
                <w:szCs w:val="20"/>
              </w:rPr>
            </w:pPr>
            <w:r>
              <w:rPr>
                <w:b w:val="0"/>
                <w:bCs w:val="0"/>
                <w:sz w:val="20"/>
                <w:szCs w:val="20"/>
              </w:rPr>
              <w:t xml:space="preserve">           48,950    </w:t>
            </w:r>
          </w:p>
        </w:tc>
        <w:tc>
          <w:tcPr>
            <w:tcW w:w="915" w:type="pct"/>
            <w:noWrap/>
          </w:tcPr>
          <w:p w:rsidR="00693105" w:rsidRDefault="00932466">
            <w:pPr>
              <w:jc w:val="center"/>
              <w:rPr>
                <w:b w:val="0"/>
                <w:bCs w:val="0"/>
                <w:sz w:val="20"/>
                <w:szCs w:val="20"/>
              </w:rPr>
            </w:pPr>
            <w:r>
              <w:rPr>
                <w:b w:val="0"/>
                <w:bCs w:val="0"/>
                <w:sz w:val="20"/>
                <w:szCs w:val="20"/>
              </w:rPr>
              <w:t>-2.10%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31-08</w:t>
            </w:r>
          </w:p>
        </w:tc>
        <w:tc>
          <w:tcPr>
            <w:tcW w:w="1312" w:type="pct"/>
            <w:noWrap/>
          </w:tcPr>
          <w:p w:rsidR="00693105" w:rsidRDefault="00932466">
            <w:pPr>
              <w:jc w:val="center"/>
              <w:rPr>
                <w:b w:val="0"/>
                <w:bCs w:val="0"/>
                <w:sz w:val="20"/>
                <w:szCs w:val="20"/>
              </w:rPr>
            </w:pPr>
            <w:r>
              <w:rPr>
                <w:b w:val="0"/>
                <w:bCs w:val="0"/>
                <w:sz w:val="20"/>
                <w:szCs w:val="20"/>
              </w:rPr>
              <w:t xml:space="preserve">           45,500    </w:t>
            </w:r>
          </w:p>
        </w:tc>
        <w:tc>
          <w:tcPr>
            <w:tcW w:w="915" w:type="pct"/>
            <w:noWrap/>
          </w:tcPr>
          <w:p w:rsidR="00693105" w:rsidRDefault="00932466">
            <w:pPr>
              <w:jc w:val="center"/>
              <w:rPr>
                <w:b w:val="0"/>
                <w:bCs w:val="0"/>
                <w:sz w:val="20"/>
                <w:szCs w:val="20"/>
              </w:rPr>
            </w:pPr>
            <w:r>
              <w:rPr>
                <w:b w:val="0"/>
                <w:bCs w:val="0"/>
                <w:sz w:val="20"/>
                <w:szCs w:val="20"/>
              </w:rPr>
              <w:t>-9.00%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30-09</w:t>
            </w:r>
          </w:p>
        </w:tc>
        <w:tc>
          <w:tcPr>
            <w:tcW w:w="1312" w:type="pct"/>
            <w:noWrap/>
          </w:tcPr>
          <w:p w:rsidR="00693105" w:rsidRDefault="00932466">
            <w:pPr>
              <w:jc w:val="center"/>
              <w:rPr>
                <w:b w:val="0"/>
                <w:bCs w:val="0"/>
                <w:sz w:val="20"/>
                <w:szCs w:val="20"/>
              </w:rPr>
            </w:pPr>
            <w:r>
              <w:rPr>
                <w:b w:val="0"/>
                <w:bCs w:val="0"/>
                <w:sz w:val="20"/>
                <w:szCs w:val="20"/>
              </w:rPr>
              <w:t xml:space="preserve">         44,500    </w:t>
            </w:r>
          </w:p>
        </w:tc>
        <w:tc>
          <w:tcPr>
            <w:tcW w:w="915" w:type="pct"/>
            <w:noWrap/>
          </w:tcPr>
          <w:p w:rsidR="00693105" w:rsidRDefault="00932466">
            <w:pPr>
              <w:jc w:val="center"/>
              <w:rPr>
                <w:b w:val="0"/>
                <w:bCs w:val="0"/>
                <w:sz w:val="20"/>
                <w:szCs w:val="20"/>
              </w:rPr>
            </w:pPr>
            <w:r>
              <w:rPr>
                <w:b w:val="0"/>
                <w:bCs w:val="0"/>
                <w:sz w:val="20"/>
                <w:szCs w:val="20"/>
              </w:rPr>
              <w:t>-11.00%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31-10</w:t>
            </w:r>
          </w:p>
        </w:tc>
        <w:tc>
          <w:tcPr>
            <w:tcW w:w="1312" w:type="pct"/>
            <w:noWrap/>
          </w:tcPr>
          <w:p w:rsidR="00693105" w:rsidRDefault="00932466">
            <w:pPr>
              <w:jc w:val="center"/>
              <w:rPr>
                <w:b w:val="0"/>
                <w:bCs w:val="0"/>
                <w:sz w:val="20"/>
                <w:szCs w:val="20"/>
              </w:rPr>
            </w:pPr>
            <w:r>
              <w:rPr>
                <w:b w:val="0"/>
                <w:bCs w:val="0"/>
                <w:sz w:val="20"/>
                <w:szCs w:val="20"/>
              </w:rPr>
              <w:t xml:space="preserve">         46,800    </w:t>
            </w:r>
          </w:p>
        </w:tc>
        <w:tc>
          <w:tcPr>
            <w:tcW w:w="915" w:type="pct"/>
            <w:noWrap/>
          </w:tcPr>
          <w:p w:rsidR="00693105" w:rsidRDefault="00932466">
            <w:pPr>
              <w:jc w:val="center"/>
              <w:rPr>
                <w:b w:val="0"/>
                <w:bCs w:val="0"/>
                <w:sz w:val="20"/>
                <w:szCs w:val="20"/>
              </w:rPr>
            </w:pPr>
            <w:r>
              <w:rPr>
                <w:b w:val="0"/>
                <w:bCs w:val="0"/>
                <w:sz w:val="20"/>
                <w:szCs w:val="20"/>
              </w:rPr>
              <w:t>-6.40%</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bCs w:val="0"/>
                <w:sz w:val="20"/>
                <w:szCs w:val="20"/>
              </w:rPr>
            </w:pPr>
            <w:r>
              <w:rPr>
                <w:b w:val="0"/>
                <w:bCs w:val="0"/>
                <w:sz w:val="20"/>
                <w:szCs w:val="20"/>
              </w:rPr>
              <w:t>31-12* / 30-11</w:t>
            </w:r>
          </w:p>
        </w:tc>
        <w:tc>
          <w:tcPr>
            <w:tcW w:w="1312" w:type="pct"/>
            <w:noWrap/>
          </w:tcPr>
          <w:p w:rsidR="00693105" w:rsidRDefault="00932466">
            <w:pPr>
              <w:jc w:val="center"/>
              <w:rPr>
                <w:b w:val="0"/>
                <w:bCs w:val="0"/>
                <w:sz w:val="20"/>
                <w:szCs w:val="20"/>
              </w:rPr>
            </w:pPr>
            <w:r>
              <w:rPr>
                <w:b w:val="0"/>
                <w:bCs w:val="0"/>
                <w:sz w:val="20"/>
                <w:szCs w:val="20"/>
              </w:rPr>
              <w:t xml:space="preserve">         47,856    </w:t>
            </w:r>
          </w:p>
        </w:tc>
        <w:tc>
          <w:tcPr>
            <w:tcW w:w="915" w:type="pct"/>
            <w:noWrap/>
          </w:tcPr>
          <w:p w:rsidR="00693105" w:rsidRDefault="00932466">
            <w:pPr>
              <w:jc w:val="center"/>
              <w:rPr>
                <w:b w:val="0"/>
                <w:bCs w:val="0"/>
                <w:sz w:val="20"/>
                <w:szCs w:val="20"/>
              </w:rPr>
            </w:pPr>
            <w:r>
              <w:rPr>
                <w:b w:val="0"/>
                <w:bCs w:val="0"/>
                <w:sz w:val="20"/>
                <w:szCs w:val="20"/>
              </w:rPr>
              <w:t>-4.29%</w:t>
            </w:r>
          </w:p>
        </w:tc>
        <w:tc>
          <w:tcPr>
            <w:tcW w:w="1128" w:type="pct"/>
            <w:noWrap/>
          </w:tcPr>
          <w:p w:rsidR="00693105" w:rsidRDefault="00932466">
            <w:pPr>
              <w:jc w:val="center"/>
              <w:rPr>
                <w:b w:val="0"/>
                <w:bCs w:val="0"/>
                <w:sz w:val="20"/>
                <w:szCs w:val="20"/>
              </w:rPr>
            </w:pPr>
            <w:r>
              <w:rPr>
                <w:b w:val="0"/>
                <w:bCs w:val="0"/>
                <w:sz w:val="20"/>
                <w:szCs w:val="20"/>
              </w:rPr>
              <w:t>0.00%</w:t>
            </w:r>
          </w:p>
        </w:tc>
      </w:tr>
      <w:tr w:rsidR="00693105" w:rsidTr="00693105">
        <w:trPr>
          <w:gridAfter w:val="1"/>
          <w:wAfter w:w="20" w:type="pct"/>
          <w:trHeight w:val="240"/>
          <w:jc w:val="center"/>
        </w:trPr>
        <w:tc>
          <w:tcPr>
            <w:tcW w:w="1625" w:type="pct"/>
            <w:noWrap/>
          </w:tcPr>
          <w:p w:rsidR="00693105" w:rsidRDefault="00932466">
            <w:pPr>
              <w:jc w:val="center"/>
              <w:rPr>
                <w:b w:val="0"/>
                <w:sz w:val="20"/>
                <w:szCs w:val="20"/>
              </w:rPr>
            </w:pPr>
            <w:r>
              <w:rPr>
                <w:b w:val="0"/>
                <w:sz w:val="20"/>
                <w:szCs w:val="20"/>
              </w:rPr>
              <w:t>31-12*/ 31-12</w:t>
            </w:r>
          </w:p>
        </w:tc>
        <w:tc>
          <w:tcPr>
            <w:tcW w:w="1312" w:type="pct"/>
            <w:noWrap/>
          </w:tcPr>
          <w:p w:rsidR="00693105" w:rsidRDefault="00932466">
            <w:pPr>
              <w:jc w:val="center"/>
              <w:rPr>
                <w:b w:val="0"/>
                <w:bCs w:val="0"/>
                <w:sz w:val="20"/>
                <w:szCs w:val="20"/>
              </w:rPr>
            </w:pPr>
            <w:r>
              <w:rPr>
                <w:b w:val="0"/>
                <w:bCs w:val="0"/>
                <w:sz w:val="20"/>
                <w:szCs w:val="20"/>
              </w:rPr>
              <w:t>48,115</w:t>
            </w:r>
          </w:p>
        </w:tc>
        <w:tc>
          <w:tcPr>
            <w:tcW w:w="915" w:type="pct"/>
            <w:noWrap/>
          </w:tcPr>
          <w:p w:rsidR="00693105" w:rsidRDefault="00932466">
            <w:pPr>
              <w:jc w:val="center"/>
              <w:rPr>
                <w:b w:val="0"/>
                <w:sz w:val="20"/>
                <w:szCs w:val="20"/>
              </w:rPr>
            </w:pPr>
            <w:r>
              <w:rPr>
                <w:b w:val="0"/>
                <w:sz w:val="20"/>
                <w:szCs w:val="20"/>
              </w:rPr>
              <w:t>-3.77%</w:t>
            </w:r>
          </w:p>
        </w:tc>
        <w:tc>
          <w:tcPr>
            <w:tcW w:w="1128" w:type="pct"/>
            <w:noWrap/>
          </w:tcPr>
          <w:p w:rsidR="00693105" w:rsidRDefault="00932466">
            <w:pPr>
              <w:jc w:val="center"/>
              <w:rPr>
                <w:b w:val="0"/>
                <w:sz w:val="20"/>
                <w:szCs w:val="20"/>
              </w:rPr>
            </w:pPr>
            <w:r>
              <w:rPr>
                <w:b w:val="0"/>
                <w:sz w:val="20"/>
                <w:szCs w:val="20"/>
              </w:rPr>
              <w:t>0.00%</w:t>
            </w:r>
          </w:p>
        </w:tc>
      </w:tr>
      <w:tr w:rsidR="00693105" w:rsidTr="00693105">
        <w:trPr>
          <w:gridAfter w:val="1"/>
          <w:wAfter w:w="20" w:type="pct"/>
          <w:trHeight w:val="285"/>
          <w:jc w:val="center"/>
        </w:trPr>
        <w:tc>
          <w:tcPr>
            <w:tcW w:w="1625" w:type="pct"/>
            <w:noWrap/>
          </w:tcPr>
          <w:p w:rsidR="00693105" w:rsidRDefault="00932466">
            <w:pPr>
              <w:jc w:val="center"/>
              <w:rPr>
                <w:bCs w:val="0"/>
                <w:sz w:val="20"/>
                <w:szCs w:val="20"/>
              </w:rPr>
            </w:pPr>
            <w:r>
              <w:rPr>
                <w:bCs w:val="0"/>
                <w:sz w:val="20"/>
                <w:szCs w:val="20"/>
              </w:rPr>
              <w:t xml:space="preserve">Toplam </w:t>
            </w:r>
            <w:r>
              <w:rPr>
                <w:bCs w:val="0"/>
                <w:sz w:val="20"/>
                <w:szCs w:val="20"/>
              </w:rPr>
              <w:t>Getiri</w:t>
            </w:r>
          </w:p>
        </w:tc>
        <w:tc>
          <w:tcPr>
            <w:tcW w:w="1312" w:type="pct"/>
            <w:noWrap/>
          </w:tcPr>
          <w:p w:rsidR="00693105" w:rsidRDefault="00693105">
            <w:pPr>
              <w:jc w:val="center"/>
              <w:rPr>
                <w:bCs w:val="0"/>
                <w:sz w:val="20"/>
                <w:szCs w:val="20"/>
              </w:rPr>
            </w:pPr>
          </w:p>
        </w:tc>
        <w:tc>
          <w:tcPr>
            <w:tcW w:w="915" w:type="pct"/>
            <w:noWrap/>
          </w:tcPr>
          <w:p w:rsidR="00693105" w:rsidRDefault="00932466">
            <w:pPr>
              <w:jc w:val="center"/>
              <w:rPr>
                <w:bCs w:val="0"/>
                <w:sz w:val="20"/>
                <w:szCs w:val="20"/>
              </w:rPr>
            </w:pPr>
            <w:r>
              <w:rPr>
                <w:bCs w:val="0"/>
                <w:sz w:val="20"/>
                <w:szCs w:val="20"/>
              </w:rPr>
              <w:t>-4.04%</w:t>
            </w:r>
          </w:p>
        </w:tc>
        <w:tc>
          <w:tcPr>
            <w:tcW w:w="1128" w:type="pct"/>
            <w:noWrap/>
          </w:tcPr>
          <w:p w:rsidR="00693105" w:rsidRDefault="00932466">
            <w:pPr>
              <w:jc w:val="center"/>
              <w:rPr>
                <w:bCs w:val="0"/>
                <w:sz w:val="20"/>
                <w:szCs w:val="20"/>
              </w:rPr>
            </w:pPr>
            <w:r>
              <w:rPr>
                <w:bCs w:val="0"/>
                <w:sz w:val="20"/>
                <w:szCs w:val="20"/>
              </w:rPr>
              <w:t>0.00%</w:t>
            </w:r>
          </w:p>
        </w:tc>
      </w:tr>
    </w:tbl>
    <w:p w:rsidR="00693105" w:rsidRDefault="00693105"/>
    <w:p w:rsidR="00693105" w:rsidRDefault="00932466">
      <w:r>
        <w:t>Yatırım dönemi süresince endeks getirisi sıfırın altında olduğundan getiri oluşmamıştır.</w:t>
      </w:r>
    </w:p>
    <w:p w:rsidR="00693105" w:rsidRDefault="00693105"/>
    <w:p w:rsidR="00693105" w:rsidRDefault="00932466">
      <w:r>
        <w:t xml:space="preserve">Fonun portföy yapısı statik ve portföy yönetim şekli pasif olacaktır. Fon portföyü talep toplama dönemini takip eden dönemde oluşturulacaktır </w:t>
      </w:r>
      <w:r>
        <w:t>ve opsiyon ve ters repo sözleşmelerinin işleme konulmasından itibaren, yatırım dönemi sonuna kadar herhangi bir başka işlem gerçekleştirilmeyecektir.</w:t>
      </w:r>
      <w:r>
        <w:rPr>
          <w:b/>
          <w:color w:val="FF0000"/>
        </w:rPr>
        <w:t xml:space="preserve"> </w:t>
      </w:r>
      <w:r>
        <w:t>Fonun portföy yönetim stratejisinde ve türünde fonun yatırım dönemi süresince değişiklik yapılmayacaktır.</w:t>
      </w:r>
    </w:p>
    <w:p w:rsidR="00693105" w:rsidRDefault="00693105"/>
    <w:p w:rsidR="00693105" w:rsidRDefault="00932466">
      <w:pPr>
        <w:autoSpaceDE w:val="0"/>
        <w:autoSpaceDN w:val="0"/>
        <w:adjustRightInd w:val="0"/>
      </w:pPr>
      <w:r>
        <w:t>Yukarıda yer verilen varlık oranları piyasa koşullarına bağlı olarak değişebileceğinden, kesinleşen portföy dağılımı ile gerekli görülen diğer bilgiler, en geç yatırım dönemi başlangıç tarihini takip eden 2 işgünü içerisinde sirkülerin ilan edildiği Türki</w:t>
      </w:r>
      <w:r>
        <w:t>ye çapında yayın yapan en az iki günlük gazetenin Türkiye baskısında yapılacak ilan ve Kurucu tarafından uygun görülen diğer yöntemlerle (internet, elektronik posta vb.) kamuya duyurulacaktır.</w:t>
      </w:r>
    </w:p>
    <w:p w:rsidR="00693105" w:rsidRDefault="00693105">
      <w:pPr>
        <w:rPr>
          <w:color w:val="000000"/>
        </w:rPr>
      </w:pPr>
    </w:p>
    <w:tbl>
      <w:tblPr>
        <w:tblStyle w:val="TableGrid"/>
        <w:tblW w:w="0" w:type="auto"/>
        <w:tblLook w:val="01E0" w:firstRow="1" w:lastRow="1" w:firstColumn="1" w:lastColumn="1" w:noHBand="0" w:noVBand="0"/>
      </w:tblPr>
      <w:tblGrid>
        <w:gridCol w:w="9680"/>
      </w:tblGrid>
      <w:tr w:rsidR="00693105">
        <w:tc>
          <w:tcPr>
            <w:tcW w:w="9680" w:type="dxa"/>
          </w:tcPr>
          <w:p w:rsidR="00693105" w:rsidRDefault="00932466">
            <w:pPr>
              <w:rPr>
                <w:b/>
                <w:color w:val="000000"/>
                <w:sz w:val="22"/>
                <w:szCs w:val="22"/>
              </w:rPr>
            </w:pPr>
            <w:r>
              <w:rPr>
                <w:b/>
                <w:color w:val="000000"/>
                <w:sz w:val="22"/>
                <w:szCs w:val="22"/>
              </w:rPr>
              <w:t>KURUCU VE YÖNETİCİ, YUKARIDA YER VERİLEN YATIRIM AMACININ GERÇ</w:t>
            </w:r>
            <w:r>
              <w:rPr>
                <w:b/>
                <w:color w:val="000000"/>
                <w:sz w:val="22"/>
                <w:szCs w:val="22"/>
              </w:rPr>
              <w:t>EKLEŞTİRİLMESİ İÇİN EN İYİ GAYRETİ GÖSTERECEKTİR. ANCAK SÖZ KONUSU YATIRIM HEDEFİNİN GERÇEKLEŞMEME OLASILIĞI BULUNMAKTADIR.</w:t>
            </w:r>
          </w:p>
        </w:tc>
      </w:tr>
    </w:tbl>
    <w:p w:rsidR="00693105" w:rsidRDefault="00693105">
      <w:pPr>
        <w:rPr>
          <w:color w:val="000000"/>
        </w:rPr>
      </w:pPr>
    </w:p>
    <w:p w:rsidR="00693105" w:rsidRDefault="00932466">
      <w:pPr>
        <w:rPr>
          <w:b/>
          <w:color w:val="000000"/>
          <w:sz w:val="28"/>
          <w:szCs w:val="28"/>
        </w:rPr>
      </w:pPr>
      <w:r>
        <w:rPr>
          <w:b/>
          <w:color w:val="000000"/>
          <w:sz w:val="28"/>
          <w:szCs w:val="28"/>
        </w:rPr>
        <w:t>III. TEMEL YATIRIM RİSKLERİ</w:t>
      </w:r>
    </w:p>
    <w:p w:rsidR="00693105" w:rsidRDefault="00693105">
      <w:pPr>
        <w:pStyle w:val="List2"/>
        <w:ind w:left="0" w:firstLine="0"/>
        <w:jc w:val="both"/>
        <w:rPr>
          <w:sz w:val="24"/>
          <w:szCs w:val="24"/>
        </w:rPr>
      </w:pPr>
    </w:p>
    <w:p w:rsidR="00693105" w:rsidRDefault="00932466">
      <w:pPr>
        <w:rPr>
          <w:b/>
        </w:rPr>
      </w:pPr>
      <w:r>
        <w:rPr>
          <w:b/>
        </w:rPr>
        <w:t>A. Risk Tanımları</w:t>
      </w:r>
    </w:p>
    <w:p w:rsidR="00693105" w:rsidRDefault="00693105">
      <w:pPr>
        <w:pStyle w:val="List2"/>
        <w:ind w:left="0" w:firstLine="0"/>
        <w:jc w:val="both"/>
        <w:rPr>
          <w:sz w:val="24"/>
          <w:szCs w:val="24"/>
        </w:rPr>
      </w:pPr>
    </w:p>
    <w:p w:rsidR="00693105" w:rsidRDefault="00932466">
      <w:pPr>
        <w:rPr>
          <w:color w:val="000000"/>
        </w:rPr>
      </w:pPr>
      <w:r>
        <w:rPr>
          <w:color w:val="000000"/>
        </w:rPr>
        <w:t>Yatırımcılar fona yatırım yapmadan önce fonla ilgili temel yatırım risklerini değe</w:t>
      </w:r>
      <w:r>
        <w:rPr>
          <w:color w:val="000000"/>
        </w:rPr>
        <w:t>rlendirmelidirler. Yatırımcıların fonun maruz kaldığı temel risklerden kaynaklanabilecek değişimler sonucunda fon fiyatındaki olası düşüşlere bağlı olarak yatırımlarının değerinin başlangıç değerinin altına düşebileceğini göz önünde bulundurmaları gerekmek</w:t>
      </w:r>
      <w:r>
        <w:rPr>
          <w:color w:val="000000"/>
        </w:rPr>
        <w:t>tedir. Bu kapsamda, muhtemel yatırım riskleri aşağıda sıralanmıştır:</w:t>
      </w:r>
    </w:p>
    <w:p w:rsidR="00693105" w:rsidRDefault="00693105">
      <w:pPr>
        <w:rPr>
          <w:color w:val="000000"/>
        </w:rPr>
      </w:pPr>
    </w:p>
    <w:p w:rsidR="00693105" w:rsidRDefault="00932466">
      <w:pPr>
        <w:rPr>
          <w:b/>
          <w:color w:val="000000"/>
        </w:rPr>
      </w:pPr>
      <w:r>
        <w:rPr>
          <w:b/>
          <w:color w:val="000000"/>
        </w:rPr>
        <w:t>Genel Piyasa Riski</w:t>
      </w:r>
    </w:p>
    <w:p w:rsidR="00693105" w:rsidRDefault="00693105">
      <w:pPr>
        <w:rPr>
          <w:b/>
          <w:color w:val="000000"/>
        </w:rPr>
      </w:pPr>
    </w:p>
    <w:p w:rsidR="00693105" w:rsidRDefault="00932466">
      <w:pPr>
        <w:rPr>
          <w:color w:val="000000"/>
        </w:rPr>
      </w:pPr>
      <w:r>
        <w:rPr>
          <w:color w:val="000000"/>
        </w:rPr>
        <w:t>Piyasa fiyatlarındaki (faiz, kur, emtia, hisse senedi fiyatı…vs) olağan veya beklenmeyen hareketlere bağlı olarak fon portföy değerinde ortaya çıkabilecek zarar ihtim</w:t>
      </w:r>
      <w:r>
        <w:rPr>
          <w:color w:val="000000"/>
        </w:rPr>
        <w:t>alini ifade eder.   Fon yatırım yaptığı piyasalardaki fiyat dalgalanmalarından doğabilecek risklere yatırım dönemi sonu itibari ile açıktır.</w:t>
      </w:r>
    </w:p>
    <w:p w:rsidR="00693105" w:rsidRDefault="00693105">
      <w:pPr>
        <w:rPr>
          <w:color w:val="000000"/>
        </w:rPr>
      </w:pPr>
    </w:p>
    <w:p w:rsidR="00693105" w:rsidRDefault="00932466">
      <w:pPr>
        <w:rPr>
          <w:b/>
          <w:color w:val="000000"/>
        </w:rPr>
      </w:pPr>
      <w:r>
        <w:rPr>
          <w:b/>
          <w:color w:val="000000"/>
        </w:rPr>
        <w:t xml:space="preserve">Faiz Oranı Riski </w:t>
      </w:r>
    </w:p>
    <w:p w:rsidR="00693105" w:rsidRDefault="00693105">
      <w:pPr>
        <w:rPr>
          <w:color w:val="000000"/>
        </w:rPr>
      </w:pPr>
    </w:p>
    <w:p w:rsidR="00693105" w:rsidRDefault="00932466">
      <w:pPr>
        <w:rPr>
          <w:color w:val="000000"/>
        </w:rPr>
      </w:pPr>
      <w:r>
        <w:rPr>
          <w:color w:val="000000"/>
        </w:rPr>
        <w:t>Faiz oranı riski, Fon portföyünde yer alan Türk Lirası ve Yabancı Para cinsi tanımlı faize duya</w:t>
      </w:r>
      <w:r>
        <w:rPr>
          <w:color w:val="000000"/>
        </w:rPr>
        <w:t>rlı finansal varlıkların ilgili faiz oranlarındaki olası hareketler nedeniyle fonun net varlık değerinin olumsuz etkilenmesi sonucu maruz kalabileceği zarar ihtimalini ifade eder. Fon portföyünün yaklaşık %85’i ile fonun yatırım dönemine uygun olarak hazin</w:t>
      </w:r>
      <w:r>
        <w:rPr>
          <w:color w:val="000000"/>
        </w:rPr>
        <w:t>e bonosu ve/veya devlet tahvili ve/veya borsa dışı ters repo sözleşmesine yapacağı yatırım nedeni ile faiz oranı riskine açıktır. Fon bu yapısı nedeni ile piyasa riski bileşenlerine sahiptir.</w:t>
      </w:r>
    </w:p>
    <w:p w:rsidR="00693105" w:rsidRDefault="00693105">
      <w:pPr>
        <w:pStyle w:val="Default"/>
        <w:jc w:val="both"/>
        <w:rPr>
          <w:b/>
          <w:bCs/>
          <w:lang w:val="tr-TR"/>
        </w:rPr>
      </w:pPr>
    </w:p>
    <w:p w:rsidR="00693105" w:rsidRDefault="00932466">
      <w:pPr>
        <w:pStyle w:val="Default"/>
        <w:jc w:val="both"/>
        <w:rPr>
          <w:rFonts w:ascii="Times New Roman" w:hAnsi="Times New Roman" w:cs="Times New Roman"/>
          <w:b/>
          <w:lang w:val="tr-TR" w:eastAsia="tr-TR"/>
        </w:rPr>
      </w:pPr>
      <w:r>
        <w:rPr>
          <w:rFonts w:ascii="Times New Roman" w:hAnsi="Times New Roman" w:cs="Times New Roman"/>
          <w:b/>
          <w:lang w:val="tr-TR" w:eastAsia="tr-TR"/>
        </w:rPr>
        <w:t>Likidite Riski</w:t>
      </w:r>
    </w:p>
    <w:p w:rsidR="00693105" w:rsidRDefault="00693105">
      <w:pPr>
        <w:pStyle w:val="Default"/>
        <w:jc w:val="both"/>
        <w:rPr>
          <w:rFonts w:ascii="Times New Roman" w:hAnsi="Times New Roman" w:cs="Times New Roman"/>
          <w:lang w:val="tr-TR" w:eastAsia="tr-TR"/>
        </w:rPr>
      </w:pPr>
    </w:p>
    <w:p w:rsidR="00693105" w:rsidRDefault="00932466">
      <w:pPr>
        <w:pStyle w:val="Default"/>
        <w:jc w:val="both"/>
        <w:rPr>
          <w:rFonts w:ascii="Times New Roman" w:hAnsi="Times New Roman" w:cs="Times New Roman"/>
          <w:lang w:val="tr-TR" w:eastAsia="tr-TR"/>
        </w:rPr>
      </w:pPr>
      <w:r>
        <w:rPr>
          <w:rFonts w:ascii="Times New Roman" w:hAnsi="Times New Roman" w:cs="Times New Roman"/>
          <w:lang w:val="tr-TR" w:eastAsia="tr-TR"/>
        </w:rPr>
        <w:t xml:space="preserve">Yatırım Fonlarının portföylerindeki nakit akışındaki dengesizlik sonucunda nakit çıkışlarını tam olarak ve zamanında karşılayacak düzeyde ve nitelikte nakit girişine veya hazır değere sahip bulunmaması, hazır değerlerinin nakde dönüştürülememesi nedeniyle </w:t>
      </w:r>
      <w:r>
        <w:rPr>
          <w:rFonts w:ascii="Times New Roman" w:hAnsi="Times New Roman" w:cs="Times New Roman"/>
          <w:lang w:val="tr-TR" w:eastAsia="tr-TR"/>
        </w:rPr>
        <w:t xml:space="preserve">zarara uğrama ihtimalidir. </w:t>
      </w:r>
    </w:p>
    <w:p w:rsidR="00693105" w:rsidRDefault="00693105">
      <w:pPr>
        <w:rPr>
          <w:color w:val="000000"/>
        </w:rPr>
      </w:pPr>
    </w:p>
    <w:p w:rsidR="00693105" w:rsidRDefault="00932466">
      <w:pPr>
        <w:rPr>
          <w:color w:val="000000"/>
        </w:rPr>
      </w:pPr>
      <w:r>
        <w:rPr>
          <w:b/>
          <w:color w:val="000000"/>
        </w:rPr>
        <w:t xml:space="preserve">Kur Riski </w:t>
      </w:r>
    </w:p>
    <w:p w:rsidR="00693105" w:rsidRDefault="00693105">
      <w:pPr>
        <w:rPr>
          <w:color w:val="000000"/>
        </w:rPr>
      </w:pPr>
    </w:p>
    <w:p w:rsidR="00693105" w:rsidRDefault="00932466">
      <w:pPr>
        <w:rPr>
          <w:color w:val="000000"/>
        </w:rPr>
      </w:pPr>
      <w:r>
        <w:rPr>
          <w:color w:val="000000"/>
        </w:rPr>
        <w:t>Fon’un yönetimi altında tuttuğu portföylerdeki yabancı para cinsinden finansal enstrümanların varlıklar (alacak hakları) ve yükümlülükler bazında yabancı para birimlerinin birbirlerine ve/veya Türk Lirasına karşı de</w:t>
      </w:r>
      <w:r>
        <w:rPr>
          <w:color w:val="000000"/>
        </w:rPr>
        <w:t>ğer kazanma ve kaybetmeleri sonucunda ortaya çıkan değişiklikler sonucu olası değer kayıplarından doğabilecek zarar ihtimalini ifade eder.</w:t>
      </w:r>
    </w:p>
    <w:p w:rsidR="00693105" w:rsidRDefault="00693105">
      <w:pPr>
        <w:rPr>
          <w:color w:val="000000"/>
        </w:rPr>
      </w:pPr>
    </w:p>
    <w:p w:rsidR="00693105" w:rsidRDefault="00932466">
      <w:pPr>
        <w:rPr>
          <w:b/>
          <w:color w:val="000000"/>
        </w:rPr>
      </w:pPr>
      <w:r>
        <w:rPr>
          <w:b/>
          <w:color w:val="000000"/>
        </w:rPr>
        <w:t xml:space="preserve">Korelasyon Riski </w:t>
      </w:r>
    </w:p>
    <w:p w:rsidR="00693105" w:rsidRDefault="00693105">
      <w:pPr>
        <w:rPr>
          <w:b/>
          <w:color w:val="000000"/>
        </w:rPr>
      </w:pPr>
    </w:p>
    <w:p w:rsidR="00693105" w:rsidRDefault="00932466">
      <w:pPr>
        <w:rPr>
          <w:color w:val="000000"/>
        </w:rPr>
      </w:pPr>
      <w:r>
        <w:rPr>
          <w:color w:val="000000"/>
        </w:rPr>
        <w:t>Farklı finansal varlıkların piyasa koşulları altında belirli bir zaman dilimi içerisinde aynı and</w:t>
      </w:r>
      <w:r>
        <w:rPr>
          <w:color w:val="000000"/>
        </w:rPr>
        <w:t>a değer kazandıkları ya da  değer kaybettiği gözlenmektedir. Bu bağlamda, korelasyon riski,  en az iki farklı finansal varlığın (Yapılandırılmış finansal enstrümanlar, döviz ve dövize dayalı finansal işlemler ile faiz ve faize dayalı finansal işlemler, tür</w:t>
      </w:r>
      <w:r>
        <w:rPr>
          <w:color w:val="000000"/>
        </w:rPr>
        <w:t>ev işlemler ve diğer yerli/yabancı piyasa ve piyasa endeks hareketleri) birbirleri ile olan ilişkisi nedeniyle doğabilecek zarar ihtimalini ifade eder.</w:t>
      </w:r>
    </w:p>
    <w:p w:rsidR="00693105" w:rsidRDefault="00693105">
      <w:pPr>
        <w:rPr>
          <w:color w:val="000000"/>
        </w:rPr>
      </w:pPr>
    </w:p>
    <w:p w:rsidR="00693105" w:rsidRDefault="00932466">
      <w:pPr>
        <w:rPr>
          <w:b/>
          <w:color w:val="000000"/>
        </w:rPr>
      </w:pPr>
      <w:r>
        <w:rPr>
          <w:b/>
          <w:color w:val="000000"/>
        </w:rPr>
        <w:t>Karşı Taraf Riski</w:t>
      </w:r>
    </w:p>
    <w:p w:rsidR="00693105" w:rsidRDefault="00693105">
      <w:pPr>
        <w:rPr>
          <w:color w:val="000000"/>
        </w:rPr>
      </w:pPr>
    </w:p>
    <w:p w:rsidR="00693105" w:rsidRDefault="00932466">
      <w:pPr>
        <w:rPr>
          <w:color w:val="000000"/>
        </w:rPr>
      </w:pPr>
      <w:r>
        <w:rPr>
          <w:color w:val="000000"/>
        </w:rPr>
        <w:t>Karşı taraf riski, borçlanma araçlarına yapılan yatırımlarda, yatırım yapılan ülke h</w:t>
      </w:r>
      <w:r>
        <w:rPr>
          <w:color w:val="000000"/>
        </w:rPr>
        <w:t>azineleri de dahil olmak üzere, karşı tarafın borcunu ödeyememe riskidir. Karşı tarafın yükümlülüklerini yerine getirememesinin sebepleri ise genelde iflas etmesi veya ödeme aczi içine girmesidir. Bu gibi durumlarda fonun işlem yaptığı tüzel kişilik temerr</w:t>
      </w:r>
      <w:r>
        <w:rPr>
          <w:color w:val="000000"/>
        </w:rPr>
        <w:t xml:space="preserve">üde düşmektedir. İşlemleri kanıtlayan ve destekleyen bir işlem belgesi mevcut olsa ve bu belge her iki tarafça imzalanmış olsa dahi temerrüde düşüldüğünde karşı taraf, kabul edilen getiriyi sağlayamayabilir.  </w:t>
      </w:r>
    </w:p>
    <w:p w:rsidR="00693105" w:rsidRDefault="00693105">
      <w:pPr>
        <w:rPr>
          <w:color w:val="000000"/>
        </w:rPr>
      </w:pPr>
    </w:p>
    <w:p w:rsidR="00693105" w:rsidRDefault="00932466">
      <w:pPr>
        <w:rPr>
          <w:b/>
          <w:color w:val="000000"/>
        </w:rPr>
      </w:pPr>
      <w:r>
        <w:rPr>
          <w:b/>
          <w:color w:val="000000"/>
        </w:rPr>
        <w:t xml:space="preserve">Operasyonel Risk </w:t>
      </w:r>
    </w:p>
    <w:p w:rsidR="00693105" w:rsidRDefault="00693105">
      <w:pPr>
        <w:rPr>
          <w:color w:val="000000"/>
        </w:rPr>
      </w:pPr>
    </w:p>
    <w:p w:rsidR="00693105" w:rsidRDefault="00932466">
      <w:pPr>
        <w:pStyle w:val="BodyText"/>
        <w:rPr>
          <w:color w:val="000000"/>
        </w:rPr>
      </w:pPr>
      <w:r>
        <w:rPr>
          <w:color w:val="000000"/>
        </w:rPr>
        <w:t>Kredi ya da piyasa riski i</w:t>
      </w:r>
      <w:r>
        <w:rPr>
          <w:color w:val="000000"/>
        </w:rPr>
        <w:t>le ilgili olmayan nedenlerden dolayı operasyonlar sonucunda zarar oluşması ihtimali operasyonel risk olarak adlandırılabilir. Operasyonel riskin kaynakları arasında, kullanılan sistemlerin yetersizliği, başarısız yönetim, personelin hatalı ya da hileli işl</w:t>
      </w:r>
      <w:r>
        <w:rPr>
          <w:color w:val="000000"/>
        </w:rPr>
        <w:t xml:space="preserve">emleri gibi kurum içi etkenlerin yanı sıra, doğal afetler, rekabet koşulları, politik rejim değişikliği gibi kurum dışı etkenler olabilir. </w:t>
      </w:r>
    </w:p>
    <w:p w:rsidR="00693105" w:rsidRDefault="00693105">
      <w:pPr>
        <w:pStyle w:val="BodyText"/>
        <w:rPr>
          <w:color w:val="000000"/>
        </w:rPr>
      </w:pPr>
    </w:p>
    <w:p w:rsidR="00693105" w:rsidRDefault="00932466">
      <w:pPr>
        <w:pStyle w:val="BodyText"/>
        <w:rPr>
          <w:b/>
          <w:color w:val="000000"/>
        </w:rPr>
      </w:pPr>
      <w:r>
        <w:rPr>
          <w:b/>
          <w:color w:val="000000"/>
        </w:rPr>
        <w:t>Yoğunlaşma riski</w:t>
      </w:r>
    </w:p>
    <w:p w:rsidR="00693105" w:rsidRDefault="00693105">
      <w:pPr>
        <w:pStyle w:val="BodyText"/>
        <w:rPr>
          <w:color w:val="000000"/>
        </w:rPr>
      </w:pPr>
    </w:p>
    <w:p w:rsidR="00693105" w:rsidRDefault="00932466">
      <w:pPr>
        <w:pStyle w:val="BodyText"/>
        <w:rPr>
          <w:color w:val="000000"/>
        </w:rPr>
      </w:pPr>
      <w:r>
        <w:rPr>
          <w:color w:val="000000"/>
        </w:rPr>
        <w:t>Yoğunlaşma riski, belli bir varlığa ve/veya vadede yoğun yatırım yapılması sonucu fonun bu varlığ</w:t>
      </w:r>
      <w:r>
        <w:rPr>
          <w:color w:val="000000"/>
        </w:rPr>
        <w:t xml:space="preserve">ın ve vadenin içerdiği risklere maruz kalmasıdır. </w:t>
      </w:r>
    </w:p>
    <w:p w:rsidR="00693105" w:rsidRDefault="00693105">
      <w:pPr>
        <w:pStyle w:val="BodyText"/>
        <w:rPr>
          <w:b/>
          <w:color w:val="000000"/>
        </w:rPr>
      </w:pPr>
    </w:p>
    <w:p w:rsidR="00693105" w:rsidRDefault="00932466">
      <w:pPr>
        <w:pStyle w:val="BodyText"/>
        <w:rPr>
          <w:b/>
          <w:color w:val="000000"/>
        </w:rPr>
      </w:pPr>
      <w:r>
        <w:rPr>
          <w:b/>
          <w:color w:val="000000"/>
        </w:rPr>
        <w:t>Yasal risk</w:t>
      </w:r>
    </w:p>
    <w:p w:rsidR="00693105" w:rsidRDefault="00693105">
      <w:pPr>
        <w:pStyle w:val="BodyText"/>
        <w:rPr>
          <w:color w:val="000000"/>
        </w:rPr>
      </w:pPr>
    </w:p>
    <w:p w:rsidR="00693105" w:rsidRDefault="00932466">
      <w:pPr>
        <w:pStyle w:val="BodyText"/>
        <w:rPr>
          <w:color w:val="000000"/>
        </w:rPr>
      </w:pPr>
      <w:r>
        <w:rPr>
          <w:color w:val="000000"/>
        </w:rPr>
        <w:t>Yasal risk, fonun halka arz edildiği dönemden sonra yasal mevzuatta ve düzenleyici otoritelerin düzenlemelerinde meydana gelen değişiklerden fonun olumsuz etkilenmesi riskidir. Özellikle, verg</w:t>
      </w:r>
      <w:r>
        <w:rPr>
          <w:color w:val="000000"/>
        </w:rPr>
        <w:t>i mevzuatında olabilecek değişiklikler fonun değerini ve fiyatını etkileyebilecektir.</w:t>
      </w:r>
    </w:p>
    <w:p w:rsidR="00693105" w:rsidRDefault="00693105">
      <w:pPr>
        <w:rPr>
          <w:color w:val="000000"/>
        </w:rPr>
      </w:pPr>
    </w:p>
    <w:p w:rsidR="00693105" w:rsidRDefault="00932466">
      <w:pPr>
        <w:rPr>
          <w:color w:val="000000"/>
        </w:rPr>
      </w:pPr>
      <w:r>
        <w:rPr>
          <w:color w:val="000000"/>
        </w:rPr>
        <w:t>Yukarıdaki risklere ilişkin olarak Sermaye Piyasası Kurulu’nun “Menkul Kıymet Yatırım Fonlarının Risk Yönetim Sistemlerine ilişkin İlkeler” konulu 28.09.2007 tarih ve 35 sayılı kararı, Seri: VII, No: 10 Sayılı “Yatırım Fonlarına İlişkin Esaslar Tebliği “ve</w:t>
      </w:r>
      <w:r>
        <w:rPr>
          <w:color w:val="000000"/>
        </w:rPr>
        <w:t xml:space="preserve"> diğer Sermaye Piyasası Kurulu düzenlemeleri kapsamında risk yönetimi esasları oluşturulmuştur. </w:t>
      </w:r>
    </w:p>
    <w:p w:rsidR="00693105" w:rsidRDefault="00693105">
      <w:pPr>
        <w:rPr>
          <w:color w:val="000000"/>
        </w:rPr>
      </w:pPr>
    </w:p>
    <w:p w:rsidR="00693105" w:rsidRDefault="00932466">
      <w:pPr>
        <w:rPr>
          <w:b/>
          <w:color w:val="000000"/>
          <w:sz w:val="28"/>
          <w:szCs w:val="28"/>
        </w:rPr>
      </w:pPr>
      <w:r>
        <w:rPr>
          <w:b/>
          <w:color w:val="000000"/>
          <w:sz w:val="28"/>
          <w:szCs w:val="28"/>
        </w:rPr>
        <w:t>IV. HEDEFLENEN ANAPARA KORUMASINDAN  VE OLASI GETİRİDEN YARARLANMA KOŞULLARI:</w:t>
      </w:r>
    </w:p>
    <w:p w:rsidR="00693105" w:rsidRDefault="00932466">
      <w:pPr>
        <w:outlineLvl w:val="0"/>
        <w:rPr>
          <w:color w:val="000000"/>
        </w:rPr>
      </w:pPr>
      <w:r>
        <w:rPr>
          <w:color w:val="000000"/>
        </w:rPr>
        <w:tab/>
      </w:r>
    </w:p>
    <w:p w:rsidR="00693105" w:rsidRDefault="00932466">
      <w:r>
        <w:t>Anapara koruması fonun yatırım döneminin bittiği tarih itibariyle geçerli olac</w:t>
      </w:r>
      <w:r>
        <w:t>aktır. Bu izahnamenin (II) nolu bölümünde hesaplanma şekline yer verilen olası getiri de yatırım dönemi sonu için geçerlidir. Dolayısıyla, yatırımcıların hedeflenen anapara korumasından ve olası getiriden yaralanabilmeleri için izahnamede belirtilen yatırı</w:t>
      </w:r>
      <w:r>
        <w:t>m döneminin sonuna kadar fonda kalmaları gereklidir.</w:t>
      </w:r>
    </w:p>
    <w:p w:rsidR="00693105" w:rsidRDefault="00693105"/>
    <w:p w:rsidR="00693105" w:rsidRDefault="00932466">
      <w:r>
        <w:t>Yatırım dönemi sonuna kadar olan sürede ise, ilgili gündeki piyasa koşullarına bağlı olarak, açıklanan fon fiyatı üzerinden yatırımcılara ödenecek tutarın anaparanın altında kalma olasılığı bulunmaktadı</w:t>
      </w:r>
      <w:r>
        <w:t>r. Dolayısıyla, yatırımcıların fon paylarını fonun yatırım dönemi sonundan önceki bir tarihte fona iade etmeleri halinde herhangi bir anapara koruması söz konusu olmadığı gibi,  %5 oranında erken çıkış ücreti uygulanacaktır</w:t>
      </w:r>
      <w:r>
        <w:rPr>
          <w:b/>
          <w:color w:val="FF0000"/>
        </w:rPr>
        <w:t xml:space="preserve">. </w:t>
      </w:r>
    </w:p>
    <w:p w:rsidR="00693105" w:rsidRDefault="00693105">
      <w:pPr>
        <w:outlineLvl w:val="0"/>
        <w:rPr>
          <w:color w:val="000000"/>
        </w:rPr>
      </w:pPr>
    </w:p>
    <w:p w:rsidR="00693105" w:rsidRDefault="00693105">
      <w:pPr>
        <w:outlineLvl w:val="0"/>
        <w:rPr>
          <w:color w:val="000000"/>
        </w:rPr>
      </w:pPr>
    </w:p>
    <w:p w:rsidR="00693105" w:rsidRDefault="00932466">
      <w:r>
        <w:rPr>
          <w:b/>
          <w:bdr w:val="single" w:sz="4" w:space="0" w:color="auto"/>
        </w:rPr>
        <w:t>FONA İLİŞKİN OLARAK YATIRIMC</w:t>
      </w:r>
      <w:r>
        <w:rPr>
          <w:b/>
          <w:bdr w:val="single" w:sz="4" w:space="0" w:color="auto"/>
        </w:rPr>
        <w:t>ILAR TARAFINDAN ÖDENEN KOMİSYONLAR, “YATIRIM DÖNEMİ SONUNDA” KORUNMASI AMAÇLANAN YATIRIM TUTARINI AZALTAMAZ</w:t>
      </w:r>
      <w:r>
        <w:rPr>
          <w:color w:val="FF0000"/>
        </w:rPr>
        <w:t>.</w:t>
      </w:r>
    </w:p>
    <w:p w:rsidR="00693105" w:rsidRDefault="00932466">
      <w:pPr>
        <w:ind w:left="72"/>
        <w:rPr>
          <w:sz w:val="22"/>
          <w:szCs w:val="22"/>
        </w:rPr>
      </w:pPr>
      <w:r>
        <w:tab/>
      </w:r>
    </w:p>
    <w:p w:rsidR="00693105" w:rsidRDefault="00932466">
      <w:pPr>
        <w:pStyle w:val="Heading2"/>
      </w:pPr>
      <w:r>
        <w:t>V. FON PORTFÖYÜNÜN YÖNETİMİ VE SAKLANMASI:</w:t>
      </w:r>
    </w:p>
    <w:p w:rsidR="00693105" w:rsidRDefault="00693105"/>
    <w:p w:rsidR="00693105" w:rsidRDefault="00932466">
      <w:pPr>
        <w:numPr>
          <w:ilvl w:val="0"/>
          <w:numId w:val="3"/>
        </w:numPr>
        <w:tabs>
          <w:tab w:val="clear" w:pos="720"/>
          <w:tab w:val="num" w:pos="360"/>
        </w:tabs>
        <w:ind w:left="360"/>
      </w:pPr>
      <w:r>
        <w:t>Kurucu: Fon kurucusu olarak Türk Ekonomi Bankası A.Ş. en iyi gayret, riskin dağıtılması ve inançlı mü</w:t>
      </w:r>
      <w:r>
        <w:t>lkiyet esaslarına göre, fonun pay sahiplerinin haklarını koruyacak şekilde yönetim ve temsilinden sorumludur.</w:t>
      </w:r>
    </w:p>
    <w:p w:rsidR="00693105" w:rsidRDefault="00932466">
      <w:pPr>
        <w:numPr>
          <w:ilvl w:val="0"/>
          <w:numId w:val="3"/>
        </w:numPr>
        <w:tabs>
          <w:tab w:val="clear" w:pos="720"/>
          <w:tab w:val="num" w:pos="360"/>
        </w:tabs>
        <w:ind w:left="360"/>
      </w:pPr>
      <w:r>
        <w:t>Yönetici: Fon portföyü TEB Portföy Yönetimi A.Ş. tarafından kurucu ile yapılan bir portföy yönetim sözleşmesi çerçevesinde Sermaye Piyasası Kanunu</w:t>
      </w:r>
      <w:r>
        <w:t>, ilgili Tebliğler ve fon içtüzüğü hükümlerine uygun olarak yönetilir.</w:t>
      </w:r>
    </w:p>
    <w:p w:rsidR="00693105" w:rsidRDefault="00932466">
      <w:pPr>
        <w:numPr>
          <w:ilvl w:val="0"/>
          <w:numId w:val="3"/>
        </w:numPr>
        <w:tabs>
          <w:tab w:val="clear" w:pos="720"/>
          <w:tab w:val="num" w:pos="360"/>
        </w:tabs>
        <w:ind w:left="360"/>
      </w:pPr>
      <w:r>
        <w:t xml:space="preserve">Saklama Kuruluşu: Kurucunun fon varlığının korunması ve saklanmasına ilişkin sorumluluğu devam etmek üzere, </w:t>
      </w:r>
      <w:r>
        <w:rPr>
          <w:b/>
        </w:rPr>
        <w:t>f</w:t>
      </w:r>
      <w:r>
        <w:t>on portföyündeki borsalarda işlem gören menkul kıymetler ile borsa dışı ters</w:t>
      </w:r>
      <w:r>
        <w:t xml:space="preserve"> repo sözleşmeleri karşılığında alınan menkul kıymetler yapılacak bir sözleşme çerçevesinde İMKB Takas ve Saklama Bankası A.Ş. nezdinde saklanır. Fon portföyünde yer alan borsa dışı opsiyon sözleşmeleri ise bu madde kapsamı dışındadır. </w:t>
      </w:r>
    </w:p>
    <w:p w:rsidR="00693105" w:rsidRDefault="00693105">
      <w:pPr>
        <w:pStyle w:val="Heading2"/>
      </w:pPr>
    </w:p>
    <w:p w:rsidR="00693105" w:rsidRDefault="00932466">
      <w:pPr>
        <w:pStyle w:val="Heading2"/>
      </w:pPr>
      <w:r>
        <w:t>VI. FON YÖNETİMİ H</w:t>
      </w:r>
      <w:r>
        <w:t>AKKINDA BİLGİLER:</w:t>
      </w:r>
    </w:p>
    <w:p w:rsidR="00693105" w:rsidRDefault="00693105"/>
    <w:p w:rsidR="00693105" w:rsidRDefault="00932466">
      <w:pPr>
        <w:ind w:firstLine="708"/>
      </w:pPr>
      <w:r>
        <w:t>Fon’da görev alan kişilere ilişkin bilgiler aşağıda verilmektedir:</w:t>
      </w:r>
    </w:p>
    <w:p w:rsidR="00693105" w:rsidRDefault="00693105">
      <w:pPr>
        <w:ind w:firstLine="708"/>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4"/>
        <w:gridCol w:w="1499"/>
        <w:gridCol w:w="3662"/>
        <w:gridCol w:w="1452"/>
        <w:gridCol w:w="1879"/>
      </w:tblGrid>
      <w:tr w:rsidR="00693105">
        <w:tc>
          <w:tcPr>
            <w:tcW w:w="648" w:type="pct"/>
          </w:tcPr>
          <w:p w:rsidR="00693105" w:rsidRDefault="00932466">
            <w:pPr>
              <w:jc w:val="left"/>
              <w:rPr>
                <w:b/>
                <w:sz w:val="20"/>
                <w:szCs w:val="20"/>
              </w:rPr>
            </w:pPr>
            <w:r>
              <w:rPr>
                <w:b/>
                <w:sz w:val="20"/>
                <w:szCs w:val="20"/>
              </w:rPr>
              <w:t>Adı Soyadı</w:t>
            </w:r>
          </w:p>
        </w:tc>
        <w:tc>
          <w:tcPr>
            <w:tcW w:w="768" w:type="pct"/>
          </w:tcPr>
          <w:p w:rsidR="00693105" w:rsidRDefault="00932466">
            <w:pPr>
              <w:jc w:val="left"/>
              <w:rPr>
                <w:b/>
                <w:sz w:val="20"/>
                <w:szCs w:val="20"/>
              </w:rPr>
            </w:pPr>
            <w:r>
              <w:rPr>
                <w:b/>
                <w:sz w:val="20"/>
                <w:szCs w:val="20"/>
              </w:rPr>
              <w:t>Görev</w:t>
            </w:r>
          </w:p>
        </w:tc>
        <w:tc>
          <w:tcPr>
            <w:tcW w:w="1877" w:type="pct"/>
          </w:tcPr>
          <w:p w:rsidR="00693105" w:rsidRDefault="00932466">
            <w:pPr>
              <w:jc w:val="left"/>
              <w:rPr>
                <w:b/>
                <w:sz w:val="20"/>
                <w:szCs w:val="20"/>
              </w:rPr>
            </w:pPr>
            <w:r>
              <w:rPr>
                <w:b/>
                <w:sz w:val="20"/>
                <w:szCs w:val="20"/>
              </w:rPr>
              <w:t>Son 5 Yılda Yaptığı İşler (Yıl-Şirket-Mevki)</w:t>
            </w:r>
          </w:p>
        </w:tc>
        <w:tc>
          <w:tcPr>
            <w:tcW w:w="744" w:type="pct"/>
          </w:tcPr>
          <w:p w:rsidR="00693105" w:rsidRDefault="00932466">
            <w:pPr>
              <w:jc w:val="left"/>
              <w:rPr>
                <w:b/>
                <w:sz w:val="20"/>
                <w:szCs w:val="20"/>
              </w:rPr>
            </w:pPr>
            <w:r>
              <w:rPr>
                <w:b/>
                <w:sz w:val="20"/>
                <w:szCs w:val="20"/>
              </w:rPr>
              <w:t>Tecrübesi (Yıl)</w:t>
            </w:r>
          </w:p>
        </w:tc>
        <w:tc>
          <w:tcPr>
            <w:tcW w:w="963" w:type="pct"/>
          </w:tcPr>
          <w:p w:rsidR="00693105" w:rsidRDefault="00932466">
            <w:pPr>
              <w:jc w:val="left"/>
              <w:rPr>
                <w:b/>
                <w:sz w:val="20"/>
                <w:szCs w:val="20"/>
              </w:rPr>
            </w:pPr>
            <w:r>
              <w:rPr>
                <w:b/>
                <w:sz w:val="20"/>
                <w:szCs w:val="20"/>
              </w:rPr>
              <w:t>Atanmasına İlişkin Yönetim Kurulu Kararı Tarihi ve Sayısı</w:t>
            </w:r>
          </w:p>
        </w:tc>
      </w:tr>
      <w:tr w:rsidR="00693105">
        <w:tc>
          <w:tcPr>
            <w:tcW w:w="648" w:type="pct"/>
          </w:tcPr>
          <w:p w:rsidR="00693105" w:rsidRDefault="00932466">
            <w:pPr>
              <w:jc w:val="left"/>
              <w:rPr>
                <w:sz w:val="20"/>
                <w:szCs w:val="20"/>
              </w:rPr>
            </w:pPr>
            <w:r>
              <w:rPr>
                <w:sz w:val="20"/>
                <w:szCs w:val="20"/>
              </w:rPr>
              <w:t>Rüştü Faruk Özsan</w:t>
            </w:r>
          </w:p>
        </w:tc>
        <w:tc>
          <w:tcPr>
            <w:tcW w:w="768" w:type="pct"/>
          </w:tcPr>
          <w:p w:rsidR="00693105" w:rsidRDefault="00932466">
            <w:pPr>
              <w:jc w:val="left"/>
              <w:rPr>
                <w:sz w:val="20"/>
                <w:szCs w:val="20"/>
              </w:rPr>
            </w:pPr>
            <w:r>
              <w:rPr>
                <w:sz w:val="20"/>
                <w:szCs w:val="20"/>
              </w:rPr>
              <w:t xml:space="preserve">Fon Kurulu </w:t>
            </w:r>
            <w:r>
              <w:rPr>
                <w:sz w:val="20"/>
                <w:szCs w:val="20"/>
              </w:rPr>
              <w:t>Başkanı</w:t>
            </w:r>
          </w:p>
        </w:tc>
        <w:tc>
          <w:tcPr>
            <w:tcW w:w="1877" w:type="pct"/>
          </w:tcPr>
          <w:p w:rsidR="00693105" w:rsidRDefault="00932466">
            <w:pPr>
              <w:spacing w:before="80"/>
              <w:rPr>
                <w:noProof/>
                <w:sz w:val="20"/>
              </w:rPr>
            </w:pPr>
            <w:r>
              <w:rPr>
                <w:noProof/>
                <w:sz w:val="20"/>
              </w:rPr>
              <w:t>18.1.1990-28/2/1997 - Fon Yöneticisi, Fon Müdürü, Türk Ekonomi Bankası A.Ş., Değişken Getirili Menkul Kıymetler Departmanı,</w:t>
            </w:r>
          </w:p>
          <w:p w:rsidR="00693105" w:rsidRDefault="00932466">
            <w:pPr>
              <w:spacing w:before="80"/>
              <w:rPr>
                <w:noProof/>
                <w:sz w:val="20"/>
              </w:rPr>
            </w:pPr>
            <w:r>
              <w:rPr>
                <w:noProof/>
                <w:sz w:val="20"/>
              </w:rPr>
              <w:t>1.3.1997-31.12.1999 – Müdür, TEB Yatırım Menkul Kıymetler A.Ş., Fon Yönetim Bölümü,</w:t>
            </w:r>
          </w:p>
          <w:p w:rsidR="00693105" w:rsidRDefault="00932466">
            <w:pPr>
              <w:jc w:val="left"/>
              <w:rPr>
                <w:sz w:val="20"/>
                <w:szCs w:val="20"/>
              </w:rPr>
            </w:pPr>
            <w:r>
              <w:rPr>
                <w:noProof/>
                <w:sz w:val="20"/>
              </w:rPr>
              <w:t>1.1.2000- (devam ediyor)- Gn. Md. Yrd. T</w:t>
            </w:r>
            <w:r>
              <w:rPr>
                <w:noProof/>
                <w:sz w:val="20"/>
              </w:rPr>
              <w:t>EB Portföy Yönetimi A.Ş.</w:t>
            </w:r>
          </w:p>
        </w:tc>
        <w:tc>
          <w:tcPr>
            <w:tcW w:w="744" w:type="pct"/>
          </w:tcPr>
          <w:p w:rsidR="00693105" w:rsidRDefault="00932466">
            <w:pPr>
              <w:jc w:val="left"/>
              <w:rPr>
                <w:sz w:val="20"/>
                <w:szCs w:val="20"/>
              </w:rPr>
            </w:pPr>
            <w:r>
              <w:rPr>
                <w:sz w:val="20"/>
                <w:szCs w:val="20"/>
              </w:rPr>
              <w:t>16</w:t>
            </w:r>
          </w:p>
        </w:tc>
        <w:tc>
          <w:tcPr>
            <w:tcW w:w="963" w:type="pct"/>
          </w:tcPr>
          <w:p w:rsidR="00693105" w:rsidRDefault="00932466">
            <w:pPr>
              <w:jc w:val="left"/>
              <w:rPr>
                <w:sz w:val="20"/>
                <w:szCs w:val="20"/>
              </w:rPr>
            </w:pPr>
            <w:r>
              <w:rPr>
                <w:sz w:val="20"/>
                <w:szCs w:val="20"/>
              </w:rPr>
              <w:t>18/08/2006</w:t>
            </w:r>
          </w:p>
          <w:p w:rsidR="00693105" w:rsidRDefault="00693105">
            <w:pPr>
              <w:jc w:val="left"/>
              <w:rPr>
                <w:sz w:val="20"/>
                <w:szCs w:val="20"/>
              </w:rPr>
            </w:pPr>
          </w:p>
          <w:p w:rsidR="00693105" w:rsidRDefault="00932466">
            <w:pPr>
              <w:jc w:val="left"/>
              <w:rPr>
                <w:sz w:val="20"/>
                <w:szCs w:val="20"/>
              </w:rPr>
            </w:pPr>
            <w:r>
              <w:rPr>
                <w:sz w:val="20"/>
                <w:szCs w:val="20"/>
              </w:rPr>
              <w:t>3886/74</w:t>
            </w:r>
          </w:p>
        </w:tc>
      </w:tr>
      <w:tr w:rsidR="00693105">
        <w:tc>
          <w:tcPr>
            <w:tcW w:w="648" w:type="pct"/>
          </w:tcPr>
          <w:p w:rsidR="00693105" w:rsidRDefault="00932466">
            <w:pPr>
              <w:jc w:val="left"/>
              <w:rPr>
                <w:sz w:val="20"/>
                <w:szCs w:val="20"/>
              </w:rPr>
            </w:pPr>
            <w:r>
              <w:rPr>
                <w:sz w:val="20"/>
                <w:szCs w:val="20"/>
              </w:rPr>
              <w:t>Emrah Hadi Tercan</w:t>
            </w:r>
          </w:p>
        </w:tc>
        <w:tc>
          <w:tcPr>
            <w:tcW w:w="768" w:type="pct"/>
          </w:tcPr>
          <w:p w:rsidR="00693105" w:rsidRDefault="00932466">
            <w:pPr>
              <w:jc w:val="left"/>
              <w:rPr>
                <w:sz w:val="20"/>
                <w:szCs w:val="20"/>
              </w:rPr>
            </w:pPr>
            <w:r>
              <w:rPr>
                <w:sz w:val="20"/>
                <w:szCs w:val="20"/>
              </w:rPr>
              <w:t>Fon Kurulu Üyesi</w:t>
            </w:r>
          </w:p>
        </w:tc>
        <w:tc>
          <w:tcPr>
            <w:tcW w:w="1877" w:type="pct"/>
          </w:tcPr>
          <w:p w:rsidR="00693105" w:rsidRDefault="00932466">
            <w:pPr>
              <w:pStyle w:val="P1"/>
              <w:rPr>
                <w:noProof/>
                <w:sz w:val="20"/>
              </w:rPr>
            </w:pPr>
            <w:r>
              <w:rPr>
                <w:noProof/>
                <w:sz w:val="20"/>
              </w:rPr>
              <w:t>1998 - 2001 Teb Yatırım Menkul Değerler A.Ş ve Teb Portfoy Yönetimi A.Ş, Fon Yönetimi Bölümü, Fon Yöneticisi</w:t>
            </w:r>
          </w:p>
          <w:p w:rsidR="00693105" w:rsidRDefault="00932466">
            <w:pPr>
              <w:pStyle w:val="P1"/>
              <w:rPr>
                <w:noProof/>
                <w:sz w:val="20"/>
              </w:rPr>
            </w:pPr>
            <w:r>
              <w:rPr>
                <w:noProof/>
                <w:sz w:val="20"/>
              </w:rPr>
              <w:t xml:space="preserve">2001 - 2003 ABN AMRO Portföy Yönetimi A.Ş., Fon ve Portföy </w:t>
            </w:r>
            <w:r>
              <w:rPr>
                <w:noProof/>
                <w:sz w:val="20"/>
              </w:rPr>
              <w:t>Yönetimi Bölümü, Fon Yöneticisi</w:t>
            </w:r>
          </w:p>
          <w:p w:rsidR="00693105" w:rsidRDefault="00932466">
            <w:pPr>
              <w:jc w:val="left"/>
              <w:rPr>
                <w:sz w:val="20"/>
                <w:szCs w:val="20"/>
              </w:rPr>
            </w:pPr>
            <w:r>
              <w:rPr>
                <w:noProof/>
                <w:sz w:val="20"/>
              </w:rPr>
              <w:t>2004 - ( devam ediyor) TEB Portföy Yönetimi A.Ş., Fon Yönetimi Bölümü, Fon Yöneticisi</w:t>
            </w:r>
          </w:p>
        </w:tc>
        <w:tc>
          <w:tcPr>
            <w:tcW w:w="744" w:type="pct"/>
          </w:tcPr>
          <w:p w:rsidR="00693105" w:rsidRDefault="00932466">
            <w:pPr>
              <w:jc w:val="left"/>
              <w:rPr>
                <w:sz w:val="20"/>
                <w:szCs w:val="20"/>
              </w:rPr>
            </w:pPr>
            <w:r>
              <w:rPr>
                <w:sz w:val="20"/>
                <w:szCs w:val="20"/>
              </w:rPr>
              <w:t>10</w:t>
            </w:r>
          </w:p>
        </w:tc>
        <w:tc>
          <w:tcPr>
            <w:tcW w:w="963" w:type="pct"/>
          </w:tcPr>
          <w:p w:rsidR="00693105" w:rsidRDefault="00932466">
            <w:pPr>
              <w:jc w:val="left"/>
              <w:rPr>
                <w:sz w:val="20"/>
                <w:szCs w:val="20"/>
              </w:rPr>
            </w:pPr>
            <w:r>
              <w:rPr>
                <w:sz w:val="20"/>
                <w:szCs w:val="20"/>
              </w:rPr>
              <w:t>18/08/2006</w:t>
            </w:r>
          </w:p>
          <w:p w:rsidR="00693105" w:rsidRDefault="00693105">
            <w:pPr>
              <w:jc w:val="left"/>
              <w:rPr>
                <w:sz w:val="20"/>
                <w:szCs w:val="20"/>
              </w:rPr>
            </w:pPr>
          </w:p>
          <w:p w:rsidR="00693105" w:rsidRDefault="00932466">
            <w:pPr>
              <w:jc w:val="left"/>
              <w:rPr>
                <w:sz w:val="20"/>
                <w:szCs w:val="20"/>
              </w:rPr>
            </w:pPr>
            <w:r>
              <w:rPr>
                <w:sz w:val="20"/>
                <w:szCs w:val="20"/>
              </w:rPr>
              <w:t>3886/74</w:t>
            </w:r>
          </w:p>
        </w:tc>
      </w:tr>
      <w:tr w:rsidR="00693105">
        <w:tc>
          <w:tcPr>
            <w:tcW w:w="648" w:type="pct"/>
          </w:tcPr>
          <w:p w:rsidR="00693105" w:rsidRDefault="00932466">
            <w:pPr>
              <w:jc w:val="left"/>
              <w:rPr>
                <w:sz w:val="20"/>
                <w:szCs w:val="20"/>
              </w:rPr>
            </w:pPr>
            <w:r>
              <w:rPr>
                <w:sz w:val="20"/>
                <w:szCs w:val="20"/>
              </w:rPr>
              <w:t xml:space="preserve">Mehmet Özkaya </w:t>
            </w:r>
          </w:p>
        </w:tc>
        <w:tc>
          <w:tcPr>
            <w:tcW w:w="768" w:type="pct"/>
          </w:tcPr>
          <w:p w:rsidR="00693105" w:rsidRDefault="00932466">
            <w:pPr>
              <w:jc w:val="left"/>
              <w:rPr>
                <w:sz w:val="20"/>
                <w:szCs w:val="20"/>
              </w:rPr>
            </w:pPr>
            <w:r>
              <w:rPr>
                <w:sz w:val="20"/>
                <w:szCs w:val="20"/>
              </w:rPr>
              <w:t>Fon Kurulu Üyesi</w:t>
            </w:r>
          </w:p>
        </w:tc>
        <w:tc>
          <w:tcPr>
            <w:tcW w:w="1877" w:type="pct"/>
          </w:tcPr>
          <w:p w:rsidR="00693105" w:rsidRDefault="00932466">
            <w:pPr>
              <w:pStyle w:val="P1"/>
              <w:rPr>
                <w:sz w:val="20"/>
              </w:rPr>
            </w:pPr>
            <w:r>
              <w:rPr>
                <w:sz w:val="20"/>
              </w:rPr>
              <w:t>2005- TEB Portföy Yönetimi A.Ş. –Portföy Yöneticisi</w:t>
            </w:r>
          </w:p>
          <w:p w:rsidR="00693105" w:rsidRDefault="00932466">
            <w:pPr>
              <w:pStyle w:val="P1"/>
              <w:rPr>
                <w:sz w:val="20"/>
              </w:rPr>
            </w:pPr>
            <w:r>
              <w:rPr>
                <w:sz w:val="20"/>
              </w:rPr>
              <w:t>2003- AK Portfoy Yönetimi A.Ş.</w:t>
            </w:r>
            <w:r>
              <w:rPr>
                <w:sz w:val="20"/>
              </w:rPr>
              <w:t xml:space="preserve"> – Müdür Yrd.</w:t>
            </w:r>
          </w:p>
          <w:p w:rsidR="00693105" w:rsidRDefault="00932466">
            <w:pPr>
              <w:jc w:val="left"/>
              <w:rPr>
                <w:sz w:val="20"/>
                <w:szCs w:val="20"/>
              </w:rPr>
            </w:pPr>
            <w:r>
              <w:rPr>
                <w:sz w:val="20"/>
              </w:rPr>
              <w:t>2001- İŞ Portfoy Yönetimi A.Ş. – Portföy Yöneticisi</w:t>
            </w:r>
          </w:p>
        </w:tc>
        <w:tc>
          <w:tcPr>
            <w:tcW w:w="744" w:type="pct"/>
          </w:tcPr>
          <w:p w:rsidR="00693105" w:rsidRDefault="00932466">
            <w:pPr>
              <w:jc w:val="left"/>
              <w:rPr>
                <w:sz w:val="20"/>
                <w:szCs w:val="20"/>
              </w:rPr>
            </w:pPr>
            <w:r>
              <w:rPr>
                <w:sz w:val="20"/>
                <w:szCs w:val="20"/>
              </w:rPr>
              <w:t>9</w:t>
            </w:r>
          </w:p>
        </w:tc>
        <w:tc>
          <w:tcPr>
            <w:tcW w:w="963" w:type="pct"/>
          </w:tcPr>
          <w:p w:rsidR="00693105" w:rsidRDefault="00932466">
            <w:pPr>
              <w:jc w:val="left"/>
              <w:rPr>
                <w:sz w:val="20"/>
                <w:szCs w:val="20"/>
              </w:rPr>
            </w:pPr>
            <w:r>
              <w:rPr>
                <w:sz w:val="20"/>
                <w:szCs w:val="20"/>
              </w:rPr>
              <w:t>18/08/2006</w:t>
            </w:r>
          </w:p>
          <w:p w:rsidR="00693105" w:rsidRDefault="00693105">
            <w:pPr>
              <w:jc w:val="left"/>
              <w:rPr>
                <w:sz w:val="20"/>
                <w:szCs w:val="20"/>
              </w:rPr>
            </w:pPr>
          </w:p>
          <w:p w:rsidR="00693105" w:rsidRDefault="00932466">
            <w:pPr>
              <w:jc w:val="left"/>
              <w:rPr>
                <w:sz w:val="20"/>
                <w:szCs w:val="20"/>
              </w:rPr>
            </w:pPr>
            <w:r>
              <w:rPr>
                <w:sz w:val="20"/>
                <w:szCs w:val="20"/>
              </w:rPr>
              <w:t>3886/74</w:t>
            </w:r>
          </w:p>
        </w:tc>
      </w:tr>
      <w:tr w:rsidR="00693105">
        <w:tc>
          <w:tcPr>
            <w:tcW w:w="648" w:type="pct"/>
          </w:tcPr>
          <w:p w:rsidR="00693105" w:rsidRDefault="00932466">
            <w:pPr>
              <w:jc w:val="left"/>
              <w:rPr>
                <w:sz w:val="20"/>
                <w:szCs w:val="20"/>
              </w:rPr>
            </w:pPr>
            <w:r>
              <w:rPr>
                <w:sz w:val="20"/>
                <w:szCs w:val="20"/>
              </w:rPr>
              <w:t xml:space="preserve">Tolga Özkan </w:t>
            </w:r>
          </w:p>
        </w:tc>
        <w:tc>
          <w:tcPr>
            <w:tcW w:w="768" w:type="pct"/>
          </w:tcPr>
          <w:p w:rsidR="00693105" w:rsidRDefault="00932466">
            <w:pPr>
              <w:jc w:val="left"/>
              <w:rPr>
                <w:sz w:val="20"/>
                <w:szCs w:val="20"/>
              </w:rPr>
            </w:pPr>
            <w:r>
              <w:rPr>
                <w:sz w:val="20"/>
                <w:szCs w:val="20"/>
              </w:rPr>
              <w:t xml:space="preserve">Fon Kurulu Üyesi </w:t>
            </w:r>
          </w:p>
        </w:tc>
        <w:tc>
          <w:tcPr>
            <w:tcW w:w="1877" w:type="pct"/>
          </w:tcPr>
          <w:p w:rsidR="00693105" w:rsidRDefault="00932466">
            <w:pPr>
              <w:rPr>
                <w:noProof/>
                <w:sz w:val="20"/>
              </w:rPr>
            </w:pPr>
            <w:r>
              <w:rPr>
                <w:noProof/>
                <w:sz w:val="20"/>
              </w:rPr>
              <w:t>2005 – devam ediyor TEB Portföy Yönetimi A.Ş. Fon Yöneticisi</w:t>
            </w:r>
          </w:p>
          <w:p w:rsidR="00693105" w:rsidRDefault="00932466">
            <w:pPr>
              <w:rPr>
                <w:noProof/>
                <w:sz w:val="20"/>
              </w:rPr>
            </w:pPr>
            <w:r>
              <w:rPr>
                <w:noProof/>
                <w:sz w:val="20"/>
              </w:rPr>
              <w:t>2004-2005 Demir Hayat Sigorta A.Ş. Hazine Müdürü</w:t>
            </w:r>
          </w:p>
          <w:p w:rsidR="00693105" w:rsidRDefault="00932466">
            <w:pPr>
              <w:rPr>
                <w:noProof/>
                <w:sz w:val="20"/>
              </w:rPr>
            </w:pPr>
            <w:r>
              <w:rPr>
                <w:noProof/>
                <w:sz w:val="20"/>
              </w:rPr>
              <w:t xml:space="preserve">2000 – 2004 Oyakbank </w:t>
            </w:r>
            <w:r>
              <w:rPr>
                <w:noProof/>
                <w:sz w:val="20"/>
              </w:rPr>
              <w:t>Hazine Döviz Masası Yönetmen</w:t>
            </w:r>
          </w:p>
          <w:p w:rsidR="00693105" w:rsidRDefault="00932466">
            <w:pPr>
              <w:jc w:val="left"/>
              <w:rPr>
                <w:sz w:val="20"/>
                <w:szCs w:val="20"/>
              </w:rPr>
            </w:pPr>
            <w:r>
              <w:rPr>
                <w:noProof/>
                <w:sz w:val="20"/>
              </w:rPr>
              <w:t>1998- 1999 Sitebank Hazine Döviz Masası Uzman</w:t>
            </w:r>
          </w:p>
        </w:tc>
        <w:tc>
          <w:tcPr>
            <w:tcW w:w="744" w:type="pct"/>
          </w:tcPr>
          <w:p w:rsidR="00693105" w:rsidRDefault="00932466">
            <w:pPr>
              <w:jc w:val="left"/>
              <w:rPr>
                <w:sz w:val="20"/>
                <w:szCs w:val="20"/>
              </w:rPr>
            </w:pPr>
            <w:r>
              <w:rPr>
                <w:sz w:val="20"/>
                <w:szCs w:val="20"/>
              </w:rPr>
              <w:t>9</w:t>
            </w:r>
          </w:p>
        </w:tc>
        <w:tc>
          <w:tcPr>
            <w:tcW w:w="963" w:type="pct"/>
          </w:tcPr>
          <w:p w:rsidR="00693105" w:rsidRDefault="00932466">
            <w:pPr>
              <w:jc w:val="left"/>
              <w:rPr>
                <w:sz w:val="20"/>
                <w:szCs w:val="20"/>
              </w:rPr>
            </w:pPr>
            <w:r>
              <w:rPr>
                <w:sz w:val="20"/>
                <w:szCs w:val="20"/>
              </w:rPr>
              <w:t>18/08/2006</w:t>
            </w:r>
          </w:p>
          <w:p w:rsidR="00693105" w:rsidRDefault="00693105">
            <w:pPr>
              <w:jc w:val="left"/>
              <w:rPr>
                <w:sz w:val="20"/>
                <w:szCs w:val="20"/>
              </w:rPr>
            </w:pPr>
          </w:p>
          <w:p w:rsidR="00693105" w:rsidRDefault="00932466">
            <w:pPr>
              <w:jc w:val="left"/>
              <w:rPr>
                <w:sz w:val="20"/>
                <w:szCs w:val="20"/>
              </w:rPr>
            </w:pPr>
            <w:r>
              <w:rPr>
                <w:sz w:val="20"/>
                <w:szCs w:val="20"/>
              </w:rPr>
              <w:t>3886/74</w:t>
            </w:r>
          </w:p>
        </w:tc>
      </w:tr>
      <w:tr w:rsidR="00693105">
        <w:tc>
          <w:tcPr>
            <w:tcW w:w="648" w:type="pct"/>
          </w:tcPr>
          <w:p w:rsidR="00693105" w:rsidRDefault="00932466">
            <w:pPr>
              <w:jc w:val="left"/>
              <w:rPr>
                <w:sz w:val="20"/>
                <w:szCs w:val="20"/>
              </w:rPr>
            </w:pPr>
            <w:r>
              <w:rPr>
                <w:sz w:val="20"/>
                <w:szCs w:val="20"/>
              </w:rPr>
              <w:t>Yasin Demir</w:t>
            </w:r>
          </w:p>
        </w:tc>
        <w:tc>
          <w:tcPr>
            <w:tcW w:w="768" w:type="pct"/>
          </w:tcPr>
          <w:p w:rsidR="00693105" w:rsidRDefault="00932466">
            <w:pPr>
              <w:jc w:val="left"/>
              <w:rPr>
                <w:sz w:val="20"/>
                <w:szCs w:val="20"/>
              </w:rPr>
            </w:pPr>
            <w:r>
              <w:rPr>
                <w:sz w:val="20"/>
                <w:szCs w:val="20"/>
              </w:rPr>
              <w:t>Portföy Yöneticisi</w:t>
            </w:r>
          </w:p>
        </w:tc>
        <w:tc>
          <w:tcPr>
            <w:tcW w:w="1877" w:type="pct"/>
          </w:tcPr>
          <w:p w:rsidR="00693105" w:rsidRDefault="00932466">
            <w:pPr>
              <w:rPr>
                <w:noProof/>
                <w:sz w:val="20"/>
              </w:rPr>
            </w:pPr>
            <w:r>
              <w:rPr>
                <w:noProof/>
                <w:sz w:val="20"/>
              </w:rPr>
              <w:t>2000 -2004 Ata Yatırım Fon Yöneticisi</w:t>
            </w:r>
          </w:p>
          <w:p w:rsidR="00693105" w:rsidRDefault="00932466">
            <w:pPr>
              <w:rPr>
                <w:noProof/>
                <w:sz w:val="20"/>
              </w:rPr>
            </w:pPr>
            <w:r>
              <w:rPr>
                <w:noProof/>
                <w:sz w:val="20"/>
              </w:rPr>
              <w:t>2004 – TEB Portföy Fon Yöneticisi</w:t>
            </w:r>
          </w:p>
        </w:tc>
        <w:tc>
          <w:tcPr>
            <w:tcW w:w="744" w:type="pct"/>
          </w:tcPr>
          <w:p w:rsidR="00693105" w:rsidRDefault="00932466">
            <w:pPr>
              <w:jc w:val="left"/>
              <w:rPr>
                <w:sz w:val="20"/>
                <w:szCs w:val="20"/>
              </w:rPr>
            </w:pPr>
            <w:r>
              <w:rPr>
                <w:sz w:val="20"/>
                <w:szCs w:val="20"/>
              </w:rPr>
              <w:t>8</w:t>
            </w:r>
          </w:p>
        </w:tc>
        <w:tc>
          <w:tcPr>
            <w:tcW w:w="963" w:type="pct"/>
          </w:tcPr>
          <w:p w:rsidR="00693105" w:rsidRDefault="00932466">
            <w:pPr>
              <w:jc w:val="left"/>
              <w:rPr>
                <w:sz w:val="20"/>
                <w:szCs w:val="20"/>
              </w:rPr>
            </w:pPr>
            <w:r>
              <w:rPr>
                <w:sz w:val="20"/>
                <w:szCs w:val="20"/>
              </w:rPr>
              <w:t>18/08/2006</w:t>
            </w:r>
          </w:p>
          <w:p w:rsidR="00693105" w:rsidRDefault="00693105">
            <w:pPr>
              <w:jc w:val="left"/>
              <w:rPr>
                <w:sz w:val="20"/>
                <w:szCs w:val="20"/>
              </w:rPr>
            </w:pPr>
          </w:p>
          <w:p w:rsidR="00693105" w:rsidRDefault="00932466">
            <w:pPr>
              <w:jc w:val="left"/>
              <w:rPr>
                <w:sz w:val="20"/>
                <w:szCs w:val="20"/>
              </w:rPr>
            </w:pPr>
            <w:r>
              <w:rPr>
                <w:sz w:val="20"/>
                <w:szCs w:val="20"/>
              </w:rPr>
              <w:t>3886/74</w:t>
            </w:r>
          </w:p>
        </w:tc>
      </w:tr>
      <w:tr w:rsidR="00693105">
        <w:tc>
          <w:tcPr>
            <w:tcW w:w="648" w:type="pct"/>
          </w:tcPr>
          <w:p w:rsidR="00693105" w:rsidRDefault="00932466">
            <w:pPr>
              <w:jc w:val="left"/>
              <w:rPr>
                <w:sz w:val="20"/>
                <w:szCs w:val="20"/>
              </w:rPr>
            </w:pPr>
            <w:r>
              <w:rPr>
                <w:sz w:val="20"/>
                <w:szCs w:val="20"/>
              </w:rPr>
              <w:t>Bülent Aktaş</w:t>
            </w:r>
          </w:p>
        </w:tc>
        <w:tc>
          <w:tcPr>
            <w:tcW w:w="768" w:type="pct"/>
          </w:tcPr>
          <w:p w:rsidR="00693105" w:rsidRDefault="00932466">
            <w:pPr>
              <w:jc w:val="left"/>
              <w:rPr>
                <w:sz w:val="20"/>
                <w:szCs w:val="20"/>
              </w:rPr>
            </w:pPr>
            <w:r>
              <w:rPr>
                <w:sz w:val="20"/>
                <w:szCs w:val="20"/>
              </w:rPr>
              <w:t>Fon Denetçisi</w:t>
            </w:r>
          </w:p>
          <w:p w:rsidR="00693105" w:rsidRDefault="00693105">
            <w:pPr>
              <w:jc w:val="left"/>
              <w:rPr>
                <w:sz w:val="20"/>
                <w:szCs w:val="20"/>
              </w:rPr>
            </w:pPr>
          </w:p>
        </w:tc>
        <w:tc>
          <w:tcPr>
            <w:tcW w:w="1877" w:type="pct"/>
          </w:tcPr>
          <w:p w:rsidR="00693105" w:rsidRDefault="00932466">
            <w:pPr>
              <w:autoSpaceDE w:val="0"/>
              <w:autoSpaceDN w:val="0"/>
              <w:adjustRightInd w:val="0"/>
              <w:rPr>
                <w:noProof/>
                <w:sz w:val="20"/>
                <w:szCs w:val="20"/>
              </w:rPr>
            </w:pPr>
            <w:r>
              <w:rPr>
                <w:noProof/>
                <w:sz w:val="20"/>
                <w:szCs w:val="20"/>
              </w:rPr>
              <w:t>1989(Mart) -1995(Aralık): Türk Ekonomi Bankası Teftiş Kurulu Başkanlığı (Müfettiş)</w:t>
            </w:r>
          </w:p>
          <w:p w:rsidR="00693105" w:rsidRDefault="00932466">
            <w:pPr>
              <w:autoSpaceDE w:val="0"/>
              <w:autoSpaceDN w:val="0"/>
              <w:adjustRightInd w:val="0"/>
              <w:rPr>
                <w:noProof/>
                <w:sz w:val="20"/>
                <w:szCs w:val="20"/>
              </w:rPr>
            </w:pPr>
            <w:r>
              <w:rPr>
                <w:noProof/>
                <w:sz w:val="20"/>
                <w:szCs w:val="20"/>
              </w:rPr>
              <w:t>1995(Ocak) -1995(Aralık): Türk Ekonomi Bankası Gayrettepe Şb. İç Yönetmen</w:t>
            </w:r>
          </w:p>
          <w:p w:rsidR="00693105" w:rsidRDefault="00932466">
            <w:pPr>
              <w:autoSpaceDE w:val="0"/>
              <w:autoSpaceDN w:val="0"/>
              <w:adjustRightInd w:val="0"/>
              <w:rPr>
                <w:noProof/>
                <w:sz w:val="20"/>
                <w:szCs w:val="20"/>
              </w:rPr>
            </w:pPr>
            <w:r>
              <w:rPr>
                <w:noProof/>
                <w:sz w:val="20"/>
                <w:szCs w:val="20"/>
              </w:rPr>
              <w:t xml:space="preserve">1996(Ocak) - 1997(Haz.): Türk Ekonomi Bankası Genel Müdürlüğü Bireysel Bankacılık İşlemleri        </w:t>
            </w:r>
            <w:r>
              <w:rPr>
                <w:noProof/>
                <w:sz w:val="20"/>
                <w:szCs w:val="20"/>
              </w:rPr>
              <w:t xml:space="preserve">                       Proje Lideri</w:t>
            </w:r>
          </w:p>
          <w:p w:rsidR="00693105" w:rsidRDefault="00932466">
            <w:pPr>
              <w:rPr>
                <w:noProof/>
                <w:sz w:val="20"/>
                <w:szCs w:val="20"/>
              </w:rPr>
            </w:pPr>
            <w:r>
              <w:rPr>
                <w:noProof/>
                <w:sz w:val="20"/>
                <w:szCs w:val="20"/>
              </w:rPr>
              <w:t>1997(Haz)-2005(Kas) Türk Ekonomi Bankası Genel Müdürlük Hazine Operasyon Dept. Yöneticisi</w:t>
            </w:r>
          </w:p>
          <w:p w:rsidR="00693105" w:rsidRDefault="00932466">
            <w:pPr>
              <w:rPr>
                <w:noProof/>
                <w:sz w:val="20"/>
                <w:szCs w:val="20"/>
              </w:rPr>
            </w:pPr>
            <w:r>
              <w:rPr>
                <w:noProof/>
                <w:sz w:val="20"/>
                <w:szCs w:val="20"/>
              </w:rPr>
              <w:t>2005(Kas) – (devam ediyor) Türk Ekonomi Bankası Genel Müdürlük Hazine Operasyonları Bölümü Direktörü</w:t>
            </w:r>
          </w:p>
          <w:p w:rsidR="00693105" w:rsidRDefault="00693105">
            <w:pPr>
              <w:jc w:val="left"/>
              <w:rPr>
                <w:sz w:val="20"/>
                <w:szCs w:val="20"/>
              </w:rPr>
            </w:pPr>
          </w:p>
        </w:tc>
        <w:tc>
          <w:tcPr>
            <w:tcW w:w="744" w:type="pct"/>
          </w:tcPr>
          <w:p w:rsidR="00693105" w:rsidRDefault="00932466">
            <w:pPr>
              <w:jc w:val="left"/>
              <w:rPr>
                <w:sz w:val="20"/>
                <w:szCs w:val="20"/>
              </w:rPr>
            </w:pPr>
            <w:r>
              <w:rPr>
                <w:sz w:val="20"/>
                <w:szCs w:val="20"/>
              </w:rPr>
              <w:t>17</w:t>
            </w:r>
          </w:p>
        </w:tc>
        <w:tc>
          <w:tcPr>
            <w:tcW w:w="963" w:type="pct"/>
          </w:tcPr>
          <w:p w:rsidR="00693105" w:rsidRDefault="00932466">
            <w:pPr>
              <w:jc w:val="left"/>
              <w:rPr>
                <w:sz w:val="20"/>
                <w:szCs w:val="20"/>
              </w:rPr>
            </w:pPr>
            <w:r>
              <w:rPr>
                <w:sz w:val="20"/>
                <w:szCs w:val="20"/>
              </w:rPr>
              <w:t>18/08/2006</w:t>
            </w:r>
          </w:p>
          <w:p w:rsidR="00693105" w:rsidRDefault="00693105">
            <w:pPr>
              <w:jc w:val="left"/>
              <w:rPr>
                <w:sz w:val="20"/>
                <w:szCs w:val="20"/>
              </w:rPr>
            </w:pPr>
          </w:p>
          <w:p w:rsidR="00693105" w:rsidRDefault="00932466">
            <w:pPr>
              <w:jc w:val="left"/>
              <w:rPr>
                <w:sz w:val="20"/>
                <w:szCs w:val="20"/>
              </w:rPr>
            </w:pPr>
            <w:r>
              <w:rPr>
                <w:sz w:val="20"/>
                <w:szCs w:val="20"/>
              </w:rPr>
              <w:t>3886/74</w:t>
            </w:r>
          </w:p>
        </w:tc>
      </w:tr>
    </w:tbl>
    <w:p w:rsidR="00693105" w:rsidRDefault="00693105"/>
    <w:p w:rsidR="00693105" w:rsidRDefault="00932466">
      <w:pPr>
        <w:pStyle w:val="Heading2"/>
      </w:pPr>
      <w:r>
        <w:t>VII</w:t>
      </w:r>
      <w:r>
        <w:t>. KATILMA PAYLARININ DEĞERİNİN TESPİTİ:</w:t>
      </w:r>
    </w:p>
    <w:p w:rsidR="00693105" w:rsidRDefault="00693105"/>
    <w:p w:rsidR="00693105" w:rsidRDefault="00932466">
      <w:pPr>
        <w:autoSpaceDE w:val="0"/>
        <w:autoSpaceDN w:val="0"/>
        <w:adjustRightInd w:val="0"/>
      </w:pPr>
      <w:r>
        <w:t>Katılma paylarının değeri, fon içtüzüğü ve Sermaye Piyasası Kurulu’nun Seri:VII, No:10 Tebliği’nin 45. maddesi çerçevesinde hesaplanır. Buna göre, fon portföyüne borsa dışından alınacak varlıkların değerlemesinde, b</w:t>
      </w:r>
      <w:r>
        <w:t xml:space="preserve">u varlıkların </w:t>
      </w:r>
      <w:r>
        <w:rPr>
          <w:sz w:val="22"/>
          <w:szCs w:val="22"/>
          <w:lang w:eastAsia="en-US"/>
        </w:rPr>
        <w:t xml:space="preserve">piyasa fiyatını </w:t>
      </w:r>
      <w:r>
        <w:t>en iyi yansıtacak şekilde</w:t>
      </w:r>
      <w:r>
        <w:rPr>
          <w:sz w:val="22"/>
          <w:szCs w:val="22"/>
          <w:lang w:eastAsia="en-US"/>
        </w:rPr>
        <w:t xml:space="preserve"> fon </w:t>
      </w:r>
      <w:r>
        <w:t xml:space="preserve">kurulu tarafından belirlenmiş değerleme yöntemleri kullanılır. Söz konusu değerleme esaslarına aşağıda yer verilmiştir: </w:t>
      </w:r>
    </w:p>
    <w:p w:rsidR="00693105" w:rsidRDefault="00693105"/>
    <w:p w:rsidR="00693105" w:rsidRDefault="00932466">
      <w:pPr>
        <w:numPr>
          <w:ilvl w:val="0"/>
          <w:numId w:val="22"/>
        </w:numPr>
      </w:pPr>
      <w:r>
        <w:t>Portföydeki borsa dışı opsiyon sözleşmelerinin değerleri, fon fiyatlarının</w:t>
      </w:r>
      <w:r>
        <w:t xml:space="preserve"> açıklanacağı her ayın 1. ve 15. günü hesaplanacaktır. Bu opsiyon sözleşmesinin fiyatlamasında, Fon’un opsiyonu satın aldığı karşı tarafın vereceği alış fiyatı kullanılır. Bu fiyatın makul ve adil bir fiyat olmasını teminen Yönetici tarafından da genel kab</w:t>
      </w:r>
      <w:r>
        <w:t>ul görmüş yöntemler esas alınarak teorik bir fiyat hesaplanır. Opsiyon sözleşmelerine ilişkin değerlemenin doğrulanması Yönetici tarafından yapılır.</w:t>
      </w:r>
    </w:p>
    <w:p w:rsidR="00693105" w:rsidRDefault="00693105">
      <w:pPr>
        <w:ind w:left="360"/>
      </w:pPr>
    </w:p>
    <w:p w:rsidR="00693105" w:rsidRDefault="00932466">
      <w:pPr>
        <w:numPr>
          <w:ilvl w:val="0"/>
          <w:numId w:val="22"/>
        </w:numPr>
      </w:pPr>
      <w:r>
        <w:t>Portföydeki borsa dışı ters repo sözleşmeleri piyasa fiyatları ile değerlenir.</w:t>
      </w:r>
    </w:p>
    <w:p w:rsidR="00693105" w:rsidRDefault="00693105"/>
    <w:p w:rsidR="00693105" w:rsidRDefault="00932466">
      <w:pPr>
        <w:pStyle w:val="Heading2"/>
        <w:rPr>
          <w:b w:val="0"/>
          <w:sz w:val="24"/>
          <w:szCs w:val="24"/>
        </w:rPr>
      </w:pPr>
      <w:r>
        <w:rPr>
          <w:b w:val="0"/>
          <w:sz w:val="24"/>
          <w:szCs w:val="24"/>
        </w:rPr>
        <w:t>Bu varlıkların değerleme e</w:t>
      </w:r>
      <w:r>
        <w:rPr>
          <w:b w:val="0"/>
          <w:sz w:val="24"/>
          <w:szCs w:val="24"/>
        </w:rPr>
        <w:t xml:space="preserve">saslarına ilişkin daha ayrıntılı bilgilere fonun sürekli bilgilendirme formunda yer verilecektir. </w:t>
      </w:r>
    </w:p>
    <w:p w:rsidR="00693105" w:rsidRDefault="00693105"/>
    <w:p w:rsidR="00693105" w:rsidRDefault="00932466">
      <w:pPr>
        <w:autoSpaceDE w:val="0"/>
        <w:autoSpaceDN w:val="0"/>
        <w:adjustRightInd w:val="0"/>
        <w:rPr>
          <w:color w:val="000000"/>
        </w:rPr>
      </w:pPr>
      <w:r>
        <w:rPr>
          <w:color w:val="000000"/>
        </w:rPr>
        <w:t xml:space="preserve">Değerleme yatırım dönemi sonuna kadar olan sürede her ayın 1. ve 15. </w:t>
      </w:r>
      <w:r>
        <w:rPr>
          <w:color w:val="000000"/>
        </w:rPr>
        <w:t xml:space="preserve">günü olmak üzere ayda          iki kere yapılacak ve aynı günlerde fon fiyatı ilan edilecektir. Fonun yatırım dönemi sonunda bu günlere bağlı olmaksızın değerleme yapılacak ve fiyat ilan edilecektir. </w:t>
      </w:r>
      <w:r>
        <w:rPr>
          <w:color w:val="000000"/>
          <w:sz w:val="22"/>
          <w:szCs w:val="22"/>
        </w:rPr>
        <w:t xml:space="preserve">Fon fiyatı, TEB İnternet Şubesi, tüm TEB şubeleri ve </w:t>
      </w:r>
      <w:r>
        <w:rPr>
          <w:color w:val="000000"/>
        </w:rPr>
        <w:t xml:space="preserve">fonun sürekli bilgilendirme formu aracılığıyla duyurulur. </w:t>
      </w:r>
    </w:p>
    <w:p w:rsidR="00693105" w:rsidRDefault="00693105"/>
    <w:p w:rsidR="00693105" w:rsidRDefault="00932466">
      <w:pPr>
        <w:pStyle w:val="Heading2"/>
      </w:pPr>
      <w:r>
        <w:t>VIII. FONDAN TAHSİL EDİLECEK HARCAMALAR:</w:t>
      </w:r>
    </w:p>
    <w:p w:rsidR="00693105" w:rsidRDefault="00693105"/>
    <w:p w:rsidR="00693105" w:rsidRDefault="00932466">
      <w:pPr>
        <w:numPr>
          <w:ilvl w:val="0"/>
          <w:numId w:val="4"/>
        </w:numPr>
      </w:pPr>
      <w:r>
        <w:t xml:space="preserve">Kurucuya ve/veya Fon Portföy Yöneticisine Ödenecek Yönetim Ücretinin Tespit Esası ve Oranı: </w:t>
      </w:r>
    </w:p>
    <w:p w:rsidR="00693105" w:rsidRDefault="00693105"/>
    <w:p w:rsidR="00693105" w:rsidRDefault="00932466">
      <w:pPr>
        <w:ind w:left="708" w:firstLine="12"/>
        <w:rPr>
          <w:color w:val="0000FF"/>
        </w:rPr>
      </w:pPr>
      <w:r>
        <w:t>Fonun ilk fiyat hesaplama günü geçerli olan fiyat ile toplam</w:t>
      </w:r>
      <w:r>
        <w:t xml:space="preserve"> satılan pay adedi çarpılarak </w:t>
      </w:r>
      <w:r>
        <w:rPr>
          <w:b/>
          <w:bCs/>
        </w:rPr>
        <w:t>(Kavramsal Değer: ilkgün fiyatı*pay adedi)</w:t>
      </w:r>
      <w:r>
        <w:t xml:space="preserve">  bulunan toplam fon büyüklüğü </w:t>
      </w:r>
      <w:r>
        <w:rPr>
          <w:b/>
          <w:bCs/>
        </w:rPr>
        <w:t>(Kavramsal değer)</w:t>
      </w:r>
      <w:r>
        <w:t xml:space="preserve"> üzerinden piyasa koşullarına göre değişebilecek ve fonların özelliği gereği ilk fiyat açıklama günü net olarak belirlenebilecek olan fo</w:t>
      </w:r>
      <w:r>
        <w:t>n yönetim ücreti  yıllık azami %3 ile asgari  %1 arasında  bir oran olacaktır. Kurucu hiçbir koşulda belirlenen bu azami  ve asgari oranlarının dışına çıkmayacaktır. Yıllık sabitlenen yönetim ücreti oranı, toplam pay fiyatı açıklama gün sayısına bölünerek,</w:t>
      </w:r>
      <w:r>
        <w:t xml:space="preserve"> her pay fiyatı açıklanan gün için sabit bir yönetim ücreti oranı olarak [(ilk gün fiyatı *pay fiyatı açıklama günü oluşan pay adedi)*sabit yönetim ücreti oranı] pay fiyatı açıklama günlerinde tahakkuk ettirilir ve bu ücret her ay sonunu izleyen bir hafta </w:t>
      </w:r>
      <w:r>
        <w:t>içinde kurucuya ödenir. Sözkonusu ücret kurucu ve yönetici arasında yapılacak anlaşma çerçevesinde paylaştırılır.</w:t>
      </w:r>
    </w:p>
    <w:p w:rsidR="00693105" w:rsidRDefault="00693105">
      <w:pPr>
        <w:ind w:left="360"/>
      </w:pPr>
    </w:p>
    <w:p w:rsidR="00693105" w:rsidRDefault="00932466">
      <w:pPr>
        <w:numPr>
          <w:ilvl w:val="0"/>
          <w:numId w:val="4"/>
        </w:numPr>
      </w:pPr>
      <w:r>
        <w:t>Hisse Senedi Kurtajı: BSMV hariç %0.2 (bindeiki).</w:t>
      </w:r>
    </w:p>
    <w:p w:rsidR="00693105" w:rsidRDefault="00932466">
      <w:pPr>
        <w:numPr>
          <w:ilvl w:val="0"/>
          <w:numId w:val="4"/>
        </w:numPr>
      </w:pPr>
      <w:r>
        <w:t xml:space="preserve">Sabit Menkul Kıymet Kurtajı: %0.00525 (milyondabeşyüzyirmibeş) </w:t>
      </w:r>
    </w:p>
    <w:p w:rsidR="00693105" w:rsidRDefault="00932466">
      <w:pPr>
        <w:numPr>
          <w:ilvl w:val="0"/>
          <w:numId w:val="4"/>
        </w:numPr>
      </w:pPr>
      <w:r>
        <w:t>Karşılık Ayrılan Giderler v</w:t>
      </w:r>
      <w:r>
        <w:t xml:space="preserve">e Tutarlar aşağıda yer almaktadır: </w:t>
      </w:r>
    </w:p>
    <w:p w:rsidR="00693105" w:rsidRDefault="00932466">
      <w:pPr>
        <w:numPr>
          <w:ilvl w:val="1"/>
          <w:numId w:val="4"/>
        </w:numPr>
      </w:pPr>
      <w:r>
        <w:t xml:space="preserve">Bağımsız Denetm Ücreti: Yaklaşık 3.500 YTL yıllık ücret ödenir ve bir yıl içinde tahsil edilir. </w:t>
      </w:r>
    </w:p>
    <w:p w:rsidR="00693105" w:rsidRDefault="00932466">
      <w:pPr>
        <w:numPr>
          <w:ilvl w:val="1"/>
          <w:numId w:val="4"/>
        </w:numPr>
      </w:pPr>
      <w:r>
        <w:t>Saklama Ücreti : İşlem ve menkul kıymet stokları üzerinden aylık olarak ödenmektedir. Yıllık yaklaşık 4.000 YTL’dir.</w:t>
      </w:r>
    </w:p>
    <w:p w:rsidR="00693105" w:rsidRDefault="00932466">
      <w:pPr>
        <w:numPr>
          <w:ilvl w:val="1"/>
          <w:numId w:val="4"/>
        </w:numPr>
      </w:pPr>
      <w:r>
        <w:t xml:space="preserve">Kurul </w:t>
      </w:r>
      <w:r>
        <w:t>Kayıt Ücreti: Kurul tarafından 3 aylık dönemler itibariyle fon toplam değerinin yüzbinde beşi oranında tahsil edilir. Günlük olarak karşılık ayrılır ve ilgili dönemlerde ödenir.</w:t>
      </w:r>
    </w:p>
    <w:p w:rsidR="00693105" w:rsidRDefault="00693105">
      <w:pPr>
        <w:ind w:left="360"/>
      </w:pPr>
    </w:p>
    <w:p w:rsidR="00693105" w:rsidRDefault="00932466">
      <w:pPr>
        <w:pStyle w:val="Heading2"/>
      </w:pPr>
      <w:r>
        <w:t>IX. KURUCUNUN KARŞILADIĞI GİDERLER:</w:t>
      </w:r>
    </w:p>
    <w:p w:rsidR="00693105" w:rsidRDefault="00693105"/>
    <w:p w:rsidR="00693105" w:rsidRDefault="00932466">
      <w:r>
        <w:t>Aşağıda tahmini tutarları gösterilen gid</w:t>
      </w:r>
      <w:r>
        <w:t>erler kurucu tarafından karşılanacaktır.</w:t>
      </w:r>
    </w:p>
    <w:p w:rsidR="00693105" w:rsidRDefault="00693105"/>
    <w:tbl>
      <w:tblPr>
        <w:tblStyle w:val="TableGrid"/>
        <w:tblW w:w="0" w:type="auto"/>
        <w:tblLook w:val="01E0" w:firstRow="1" w:lastRow="1" w:firstColumn="1" w:lastColumn="1" w:noHBand="0" w:noVBand="0"/>
      </w:tblPr>
      <w:tblGrid>
        <w:gridCol w:w="2628"/>
        <w:gridCol w:w="7052"/>
      </w:tblGrid>
      <w:tr w:rsidR="00693105">
        <w:tc>
          <w:tcPr>
            <w:tcW w:w="2628" w:type="dxa"/>
          </w:tcPr>
          <w:p w:rsidR="00693105" w:rsidRDefault="00932466">
            <w:pPr>
              <w:rPr>
                <w:b/>
              </w:rPr>
            </w:pPr>
            <w:r>
              <w:rPr>
                <w:b/>
              </w:rPr>
              <w:t>GİDER TÜRÜ</w:t>
            </w:r>
          </w:p>
        </w:tc>
        <w:tc>
          <w:tcPr>
            <w:tcW w:w="7052" w:type="dxa"/>
          </w:tcPr>
          <w:p w:rsidR="00693105" w:rsidRDefault="00932466">
            <w:pPr>
              <w:rPr>
                <w:b/>
              </w:rPr>
            </w:pPr>
            <w:r>
              <w:rPr>
                <w:b/>
              </w:rPr>
              <w:t>TUTARI (YTL)</w:t>
            </w:r>
          </w:p>
        </w:tc>
      </w:tr>
      <w:tr w:rsidR="00693105">
        <w:tc>
          <w:tcPr>
            <w:tcW w:w="2628" w:type="dxa"/>
          </w:tcPr>
          <w:p w:rsidR="00693105" w:rsidRDefault="00932466">
            <w:pPr>
              <w:rPr>
                <w:sz w:val="20"/>
                <w:szCs w:val="20"/>
              </w:rPr>
            </w:pPr>
            <w:r>
              <w:rPr>
                <w:sz w:val="20"/>
                <w:szCs w:val="20"/>
              </w:rPr>
              <w:t>Tescil ve İlan Giderleri</w:t>
            </w:r>
          </w:p>
        </w:tc>
        <w:tc>
          <w:tcPr>
            <w:tcW w:w="7052" w:type="dxa"/>
          </w:tcPr>
          <w:p w:rsidR="00693105" w:rsidRDefault="00932466">
            <w:pPr>
              <w:jc w:val="center"/>
              <w:rPr>
                <w:sz w:val="20"/>
                <w:szCs w:val="20"/>
              </w:rPr>
            </w:pPr>
            <w:r>
              <w:rPr>
                <w:sz w:val="20"/>
                <w:szCs w:val="20"/>
              </w:rPr>
              <w:t>10.000</w:t>
            </w:r>
          </w:p>
        </w:tc>
      </w:tr>
      <w:tr w:rsidR="00693105">
        <w:tc>
          <w:tcPr>
            <w:tcW w:w="2628" w:type="dxa"/>
          </w:tcPr>
          <w:p w:rsidR="00693105" w:rsidRDefault="00932466">
            <w:pPr>
              <w:rPr>
                <w:sz w:val="20"/>
                <w:szCs w:val="20"/>
              </w:rPr>
            </w:pPr>
            <w:r>
              <w:rPr>
                <w:sz w:val="20"/>
                <w:szCs w:val="20"/>
              </w:rPr>
              <w:t>Gazete İlan Giderleri</w:t>
            </w:r>
          </w:p>
        </w:tc>
        <w:tc>
          <w:tcPr>
            <w:tcW w:w="7052" w:type="dxa"/>
          </w:tcPr>
          <w:p w:rsidR="00693105" w:rsidRDefault="00932466">
            <w:pPr>
              <w:jc w:val="center"/>
              <w:rPr>
                <w:sz w:val="20"/>
                <w:szCs w:val="20"/>
              </w:rPr>
            </w:pPr>
            <w:r>
              <w:rPr>
                <w:sz w:val="20"/>
                <w:szCs w:val="20"/>
              </w:rPr>
              <w:t>10.000</w:t>
            </w:r>
          </w:p>
        </w:tc>
      </w:tr>
      <w:tr w:rsidR="00693105">
        <w:tc>
          <w:tcPr>
            <w:tcW w:w="2628" w:type="dxa"/>
          </w:tcPr>
          <w:p w:rsidR="00693105" w:rsidRDefault="00932466">
            <w:pPr>
              <w:rPr>
                <w:sz w:val="20"/>
                <w:szCs w:val="20"/>
              </w:rPr>
            </w:pPr>
            <w:r>
              <w:rPr>
                <w:sz w:val="20"/>
                <w:szCs w:val="20"/>
              </w:rPr>
              <w:t>Diğer Giderler</w:t>
            </w:r>
          </w:p>
        </w:tc>
        <w:tc>
          <w:tcPr>
            <w:tcW w:w="7052" w:type="dxa"/>
          </w:tcPr>
          <w:p w:rsidR="00693105" w:rsidRDefault="00932466">
            <w:pPr>
              <w:jc w:val="center"/>
              <w:rPr>
                <w:sz w:val="20"/>
                <w:szCs w:val="20"/>
              </w:rPr>
            </w:pPr>
            <w:r>
              <w:rPr>
                <w:sz w:val="20"/>
                <w:szCs w:val="20"/>
              </w:rPr>
              <w:t>5.000</w:t>
            </w:r>
          </w:p>
        </w:tc>
      </w:tr>
      <w:tr w:rsidR="00693105">
        <w:tc>
          <w:tcPr>
            <w:tcW w:w="2628" w:type="dxa"/>
          </w:tcPr>
          <w:p w:rsidR="00693105" w:rsidRDefault="00932466">
            <w:pPr>
              <w:rPr>
                <w:b/>
                <w:sz w:val="20"/>
                <w:szCs w:val="20"/>
              </w:rPr>
            </w:pPr>
            <w:r>
              <w:rPr>
                <w:b/>
                <w:sz w:val="20"/>
                <w:szCs w:val="20"/>
              </w:rPr>
              <w:t>TOPLAM</w:t>
            </w:r>
          </w:p>
        </w:tc>
        <w:tc>
          <w:tcPr>
            <w:tcW w:w="7052" w:type="dxa"/>
          </w:tcPr>
          <w:p w:rsidR="00693105" w:rsidRDefault="00932466">
            <w:pPr>
              <w:jc w:val="center"/>
              <w:rPr>
                <w:b/>
                <w:sz w:val="20"/>
                <w:szCs w:val="20"/>
              </w:rPr>
            </w:pPr>
            <w:r>
              <w:rPr>
                <w:b/>
                <w:sz w:val="20"/>
                <w:szCs w:val="20"/>
              </w:rPr>
              <w:t>25.000</w:t>
            </w:r>
          </w:p>
        </w:tc>
      </w:tr>
    </w:tbl>
    <w:p w:rsidR="00693105" w:rsidRDefault="00693105">
      <w:pPr>
        <w:pStyle w:val="Heading2"/>
      </w:pPr>
    </w:p>
    <w:p w:rsidR="00693105" w:rsidRDefault="00932466">
      <w:pPr>
        <w:pStyle w:val="Heading2"/>
      </w:pPr>
      <w:r>
        <w:t>X. YATIRIM FONUNUN VERGİLENDİRİLMESİ:</w:t>
      </w:r>
    </w:p>
    <w:p w:rsidR="00693105" w:rsidRDefault="00693105"/>
    <w:p w:rsidR="00693105" w:rsidRDefault="00693105"/>
    <w:p w:rsidR="00693105" w:rsidRDefault="00932466">
      <w:pPr>
        <w:numPr>
          <w:ilvl w:val="0"/>
          <w:numId w:val="6"/>
        </w:numPr>
        <w:tabs>
          <w:tab w:val="num" w:pos="0"/>
        </w:tabs>
        <w:rPr>
          <w:rFonts w:cs="Arial"/>
          <w:b/>
          <w:bCs/>
        </w:rPr>
      </w:pPr>
      <w:r>
        <w:rPr>
          <w:rFonts w:cs="Arial"/>
          <w:b/>
          <w:bCs/>
        </w:rPr>
        <w:t xml:space="preserve">Fon Portföy İşletmeciliği Kazançlarının </w:t>
      </w:r>
      <w:r>
        <w:rPr>
          <w:rFonts w:cs="Arial"/>
          <w:b/>
          <w:bCs/>
        </w:rPr>
        <w:t>Vergilendirilmesi</w:t>
      </w:r>
    </w:p>
    <w:p w:rsidR="00693105" w:rsidRDefault="00693105">
      <w:pPr>
        <w:rPr>
          <w:rFonts w:cs="Arial"/>
          <w:b/>
          <w:bCs/>
        </w:rPr>
      </w:pPr>
    </w:p>
    <w:p w:rsidR="00693105" w:rsidRDefault="00932466">
      <w:pPr>
        <w:numPr>
          <w:ilvl w:val="1"/>
          <w:numId w:val="6"/>
        </w:numPr>
        <w:rPr>
          <w:rFonts w:cs="Arial"/>
          <w:bCs/>
        </w:rPr>
      </w:pPr>
      <w:r>
        <w:rPr>
          <w:rFonts w:cs="Arial"/>
          <w:b/>
          <w:bCs/>
        </w:rPr>
        <w:t xml:space="preserve">Kurumlar Vergisi Düzenlemesi Açısından: </w:t>
      </w:r>
      <w:r>
        <w:t xml:space="preserve">5520 sayılı Kurumlar Vergisi Kanunu’nun 5'inci maddesinin 1 no’lu bendinin  (d) alt bendi uyarınca, menkul kıymet yatırım fonlarının portföy işletmeciliğinden doğan kazançları kurumlar vergisinden </w:t>
      </w:r>
      <w:r>
        <w:t>istisnadır.</w:t>
      </w:r>
    </w:p>
    <w:p w:rsidR="00693105" w:rsidRDefault="00932466">
      <w:pPr>
        <w:numPr>
          <w:ilvl w:val="1"/>
          <w:numId w:val="6"/>
        </w:numPr>
        <w:rPr>
          <w:rFonts w:cs="Arial"/>
          <w:bCs/>
        </w:rPr>
      </w:pPr>
      <w:r>
        <w:rPr>
          <w:rFonts w:cs="Arial"/>
          <w:b/>
          <w:bCs/>
        </w:rPr>
        <w:t xml:space="preserve">Gelir Vergisi Düzenlemesi Açısından: </w:t>
      </w:r>
      <w:r>
        <w:rPr>
          <w:rFonts w:cs="Arial"/>
          <w:bCs/>
        </w:rPr>
        <w:t xml:space="preserve">Fonların portföy işletmeciliği kazançları, </w:t>
      </w:r>
      <w:r>
        <w:t xml:space="preserve">Gelir Vergisi Kanunu’nun geçici 67. maddesinin (8) numaralı bendi uyarınca, </w:t>
      </w:r>
      <w:r>
        <w:rPr>
          <w:rFonts w:cs="Arial"/>
          <w:bCs/>
        </w:rPr>
        <w:t>A ve B Tipi ayrımı olmaksızın % 0</w:t>
      </w:r>
      <w:r>
        <w:rPr>
          <w:rStyle w:val="FootnoteReference"/>
          <w:rFonts w:cs="Arial"/>
          <w:bCs/>
        </w:rPr>
        <w:footnoteReference w:id="1"/>
      </w:r>
      <w:r>
        <w:rPr>
          <w:rFonts w:cs="Arial"/>
          <w:bCs/>
        </w:rPr>
        <w:t xml:space="preserve"> oranında gelir vergisi tevfikatına tabidir. </w:t>
      </w:r>
    </w:p>
    <w:p w:rsidR="00693105" w:rsidRDefault="00693105">
      <w:pPr>
        <w:rPr>
          <w:rFonts w:cs="Arial"/>
          <w:bCs/>
        </w:rPr>
      </w:pPr>
    </w:p>
    <w:p w:rsidR="00693105" w:rsidRDefault="00932466">
      <w:pPr>
        <w:ind w:firstLine="397"/>
        <w:rPr>
          <w:rFonts w:cs="Arial"/>
          <w:bCs/>
        </w:rPr>
      </w:pPr>
      <w:r>
        <w:rPr>
          <w:b/>
          <w:bCs/>
        </w:rPr>
        <w:t xml:space="preserve">2. </w:t>
      </w:r>
      <w:r>
        <w:rPr>
          <w:b/>
          <w:bCs/>
        </w:rPr>
        <w:t>Katılma Payı Satın Alanların Vergilendirilmesi</w:t>
      </w:r>
      <w:r>
        <w:rPr>
          <w:rStyle w:val="FootnoteReference"/>
          <w:rFonts w:cs="Arial"/>
          <w:bCs/>
        </w:rPr>
        <w:footnoteReference w:id="2"/>
      </w:r>
    </w:p>
    <w:p w:rsidR="00693105" w:rsidRDefault="00693105">
      <w:pPr>
        <w:ind w:firstLine="360"/>
        <w:rPr>
          <w:b/>
          <w:bCs/>
        </w:rPr>
      </w:pPr>
    </w:p>
    <w:p w:rsidR="00693105" w:rsidRDefault="00932466">
      <w:pPr>
        <w:ind w:firstLine="397"/>
        <w:rPr>
          <w:rFonts w:cs="Arial"/>
          <w:bCs/>
        </w:rPr>
      </w:pPr>
      <w:r>
        <w:t xml:space="preserve">Gelir Vergisi Kanunu’nun geçici 67. maddesindeki esaslar çerçevesinde Sermaye Piyasası Kanununa göre kurulan menkul kıymetler yatırım fonlarının katılma belgelerinin ilgili olduğu fona iadesi %10 oranında </w:t>
      </w:r>
      <w:r>
        <w:rPr>
          <w:rFonts w:cs="Arial"/>
          <w:bCs/>
        </w:rPr>
        <w:t>ge</w:t>
      </w:r>
      <w:r>
        <w:rPr>
          <w:rFonts w:cs="Arial"/>
          <w:bCs/>
        </w:rPr>
        <w:t>lir vergisi tevfikatına tabidir. Dar mükellef gerçek kişi ve kurumlar için bu oran %0 olarak uygulanır.</w:t>
      </w:r>
    </w:p>
    <w:p w:rsidR="00693105" w:rsidRDefault="00932466">
      <w:pPr>
        <w:ind w:firstLine="397"/>
        <w:rPr>
          <w:rFonts w:cs="Arial"/>
          <w:bCs/>
        </w:rPr>
      </w:pPr>
      <w:r>
        <w:rPr>
          <w:rFonts w:cs="Arial"/>
          <w:bCs/>
        </w:rPr>
        <w:t>Yatırımcılara yapılacak periyodik ödemelerin vergilendirilmesine ilişkin olarak ise:</w:t>
      </w:r>
    </w:p>
    <w:p w:rsidR="00693105" w:rsidRDefault="00932466">
      <w:pPr>
        <w:numPr>
          <w:ilvl w:val="0"/>
          <w:numId w:val="23"/>
        </w:numPr>
        <w:rPr>
          <w:rFonts w:cs="Arial"/>
          <w:bCs/>
        </w:rPr>
      </w:pPr>
      <w:r>
        <w:rPr>
          <w:rFonts w:cs="Arial"/>
          <w:bCs/>
        </w:rPr>
        <w:t>Periyodik olarak ödenen tutarın yalnızca portföy getirisinden oluşm</w:t>
      </w:r>
      <w:r>
        <w:rPr>
          <w:rFonts w:cs="Arial"/>
          <w:bCs/>
        </w:rPr>
        <w:t>ası durumunda yatırımcıya yapılan periyodik ödemelerin tamamı,</w:t>
      </w:r>
    </w:p>
    <w:p w:rsidR="00693105" w:rsidRDefault="00932466">
      <w:pPr>
        <w:numPr>
          <w:ilvl w:val="0"/>
          <w:numId w:val="23"/>
        </w:numPr>
        <w:rPr>
          <w:rFonts w:cs="Arial"/>
          <w:bCs/>
        </w:rPr>
      </w:pPr>
      <w:r>
        <w:rPr>
          <w:rFonts w:cs="Arial"/>
          <w:bCs/>
        </w:rPr>
        <w:t xml:space="preserve">Periyodik olarak ödenen tutarın bir kısmının anapara geri ödemesi; bir kısmının ise portföy getirisini içermesi durumunda ise periyodik ödemenin portföy getirisine isabet eden kısmı </w:t>
      </w:r>
    </w:p>
    <w:p w:rsidR="00693105" w:rsidRDefault="00932466">
      <w:pPr>
        <w:ind w:left="397"/>
        <w:rPr>
          <w:rFonts w:cs="Arial"/>
          <w:bCs/>
        </w:rPr>
      </w:pPr>
      <w:r>
        <w:rPr>
          <w:rFonts w:cs="Arial"/>
          <w:bCs/>
        </w:rPr>
        <w:t>tevkifat m</w:t>
      </w:r>
      <w:r>
        <w:rPr>
          <w:rFonts w:cs="Arial"/>
          <w:bCs/>
        </w:rPr>
        <w:t xml:space="preserve">atrahını oluşturacak şekilde Gelir Vergisi Kanunu’nun Geçici 67. maddesinin (1) numaralı fıkrası kapsamında tevkifata tabi olacaktır. </w:t>
      </w:r>
    </w:p>
    <w:p w:rsidR="00693105" w:rsidRDefault="00932466">
      <w:pPr>
        <w:ind w:firstLine="397"/>
        <w:rPr>
          <w:rFonts w:cs="Arial"/>
          <w:bCs/>
        </w:rPr>
      </w:pPr>
      <w:r>
        <w:rPr>
          <w:rFonts w:cs="Arial"/>
          <w:bCs/>
        </w:rPr>
        <w:t>Periyodik ödemenin bir taksiti niteliğinde olması ve portföy getirisinin bulunmaması durumunda ise söz konusu ödemeler üz</w:t>
      </w:r>
      <w:r>
        <w:rPr>
          <w:rFonts w:cs="Arial"/>
          <w:bCs/>
        </w:rPr>
        <w:t xml:space="preserve">erinden tevkifat yapılmayacaktır. </w:t>
      </w:r>
    </w:p>
    <w:p w:rsidR="00693105" w:rsidRDefault="00932466">
      <w:pPr>
        <w:ind w:firstLine="397"/>
        <w:rPr>
          <w:rFonts w:cs="Arial"/>
          <w:bCs/>
        </w:rPr>
      </w:pPr>
      <w:r>
        <w:rPr>
          <w:rFonts w:cs="Arial"/>
          <w:bCs/>
        </w:rPr>
        <w:t>Sürekli olarak portföyünün en az % 51’i İstanbul Menkul Kıymetler Borsasında işlem gören hisse senetlerinden oluşan yatırım fonlarının bir yıldan fazla süreyle elde tutulan katılma belgelerinin elden çıkarılmasında</w:t>
      </w:r>
      <w:r>
        <w:t xml:space="preserve"> Gelir </w:t>
      </w:r>
      <w:r>
        <w:t>Vergisi Kanunu’nun geçici 67. maddesi kapsamında</w:t>
      </w:r>
      <w:r>
        <w:rPr>
          <w:rFonts w:cs="Arial"/>
          <w:bCs/>
        </w:rPr>
        <w:t xml:space="preserve"> tevkifat yapılmaz.</w:t>
      </w:r>
    </w:p>
    <w:p w:rsidR="00693105" w:rsidRDefault="00932466">
      <w:pPr>
        <w:ind w:firstLine="397"/>
      </w:pPr>
      <w:r>
        <w:t>Gelir Vergisi Kanunu’nun geçici 67. maddesinin (8) numaralı bendi uyarınca fon katılma paylarının fona iadesinden elde edilen gelirler için yıllık beyanname verilmez. Diğer gelirler nedeni</w:t>
      </w:r>
      <w:r>
        <w:t>yle beyanname verilmesi halinde de bu gelirler beyannameye dahil edilmez. Ticarî işletmeye dahil olan bu nitelikteki gelirler, bu fıkra kapsamı dışındadır.</w:t>
      </w:r>
    </w:p>
    <w:p w:rsidR="00693105" w:rsidRDefault="00932466">
      <w:pPr>
        <w:ind w:firstLine="360"/>
        <w:rPr>
          <w:shd w:val="clear" w:color="auto" w:fill="FFFF00"/>
        </w:rPr>
      </w:pPr>
      <w:r>
        <w:t> Kurumlar Vergisi Kanunu Geçici Madde 1 uyarınca dar mükellef kurumların Türkiye'deki iş yerlerine a</w:t>
      </w:r>
      <w:r>
        <w:t>tfedilmeyen veya daimî temsilcilerinin aracılığı olmaksızın elde edilen ve Gelir Vergisi Kanununun geçici 67 nci maddesi kapsamında kesinti yapılmış kazançları ile bu kurumların tam mükellef kurumlara ait olup İstanbul Menkul Kıymetler Borsasında işlem gör</w:t>
      </w:r>
      <w:r>
        <w:t>en ve bir yıldan fazla süreyle elde tutulan hisse senetlerinin elden çıkarılmasından sağlanan ve geçici 67 nci maddenin (1) numaralı fıkrasının altıncı paragrafı kapsamında vergi kesintisine tâbi tutulmayan kazançları ve bu kurumların daimî temsilcileri ar</w:t>
      </w:r>
      <w:r>
        <w:t>acılığıyla elde ettikleri tamamı geçici 67 nci madde kapsamında vergi kesintisine tâbi tutulmuş kazançları için yıllık veya özel beyanname verilmez.</w:t>
      </w:r>
    </w:p>
    <w:p w:rsidR="00693105" w:rsidRDefault="00693105">
      <w:pPr>
        <w:pStyle w:val="Heading2"/>
      </w:pPr>
    </w:p>
    <w:p w:rsidR="00693105" w:rsidRDefault="00932466">
      <w:pPr>
        <w:pStyle w:val="Heading2"/>
      </w:pPr>
      <w:r>
        <w:t>XI- KATILMA PAYI SAHİPLERİNİN HAKLARI:</w:t>
      </w:r>
    </w:p>
    <w:p w:rsidR="00693105" w:rsidRDefault="00693105"/>
    <w:p w:rsidR="00693105" w:rsidRDefault="00932466">
      <w:pPr>
        <w:numPr>
          <w:ilvl w:val="0"/>
          <w:numId w:val="9"/>
        </w:numPr>
        <w:rPr>
          <w:color w:val="000000"/>
        </w:rPr>
      </w:pPr>
      <w:r>
        <w:rPr>
          <w:color w:val="000000"/>
        </w:rPr>
        <w:t>Fon'da oluşan kar, katılma paylarının fon içtüzüğünde belirtilen e</w:t>
      </w:r>
      <w:r>
        <w:rPr>
          <w:color w:val="000000"/>
        </w:rPr>
        <w:t xml:space="preserve">saslara ve Sermaye Piyasası Kurulu düzenlemelerine göre tespit edilen fiyatlarına yansır. Katılma payı sahipleri, yatırım dönemi sonunda paylarını Fon'a geri sattıklarında, ellerinde tuttukları süre için Fon'da oluşan kardan paylarını almış olurlar. </w:t>
      </w:r>
    </w:p>
    <w:p w:rsidR="00693105" w:rsidRDefault="00932466">
      <w:pPr>
        <w:numPr>
          <w:ilvl w:val="0"/>
          <w:numId w:val="9"/>
        </w:numPr>
        <w:rPr>
          <w:color w:val="000000"/>
        </w:rPr>
      </w:pPr>
      <w:r>
        <w:rPr>
          <w:color w:val="000000"/>
        </w:rPr>
        <w:t>Kuruc</w:t>
      </w:r>
      <w:r>
        <w:rPr>
          <w:color w:val="000000"/>
        </w:rPr>
        <w:t>u her hesap döneminin bitiminden itibaren 3 ay içinde Fon'un, bir önceki yılla karşılaştırmalı olarak hazırlanmış bağımsız denetimden geçmiş fon bilanço ve gelir tabloları ile fon portföy değeri ve fon toplam değeri tablolarını ve dönem içindeki gelişmeler</w:t>
      </w:r>
      <w:r>
        <w:rPr>
          <w:color w:val="000000"/>
        </w:rPr>
        <w:t>i takip eden 3 ay içinde, bağımsız denetim raporu ile birlikte Sermaye Piyasası Kurulu'na gönderir. Ayrıca, bunların bir özetini de Sermaye Piyasası Kurulu'nca belirlenecek esaslara göre ilan eder.</w:t>
      </w:r>
      <w:r>
        <w:rPr>
          <w:rStyle w:val="CommentReference"/>
          <w:color w:val="000000"/>
        </w:rPr>
        <w:t xml:space="preserve"> </w:t>
      </w:r>
      <w:r>
        <w:rPr>
          <w:color w:val="000000"/>
        </w:rPr>
        <w:t xml:space="preserve"> Koruma amaçlı fonlar yatırım dönemi sonunda yalnızca özel</w:t>
      </w:r>
      <w:r>
        <w:rPr>
          <w:color w:val="000000"/>
        </w:rPr>
        <w:t xml:space="preserve"> bağımsız denetime tabi tutulacaktır. Ayrıca, fon tarafından düzenlenen ayrıntılı ara bilanço ve gelir tabloları bağımsız denetim rapor özeti ile birlikte 6 hafta içinde katılma paylarının alınıp satıldığı yerlerde ilan edilir. Ara dönem mali tablo düzenle</w:t>
      </w:r>
      <w:r>
        <w:rPr>
          <w:color w:val="000000"/>
        </w:rPr>
        <w:t>me ve bağımsız denetimden geçirme yükümlüğü yatırım dönemi 9 ay ve daha uzun olan fonlar için aranacak olup söz konusu ara dönem bağımsız denetimi fonun yatırım döneminin başlangıç tarihini takip eden 6. ayın sonu itibariyle gerçekleştirilecektir.</w:t>
      </w:r>
    </w:p>
    <w:p w:rsidR="00693105" w:rsidRDefault="00932466">
      <w:pPr>
        <w:numPr>
          <w:ilvl w:val="0"/>
          <w:numId w:val="9"/>
        </w:numPr>
        <w:rPr>
          <w:color w:val="000000"/>
        </w:rPr>
      </w:pPr>
      <w:r>
        <w:rPr>
          <w:color w:val="000000"/>
        </w:rPr>
        <w:t xml:space="preserve">Ticaret </w:t>
      </w:r>
      <w:r>
        <w:rPr>
          <w:color w:val="000000"/>
        </w:rPr>
        <w:t xml:space="preserve">Siciline tescil olunarak TTSG’de ilan olunan hususlardan yatırımcının yatırım kararlarını etkileyebilecek ve önceden bilgi sahibi olmayı gerektirecek nitelikte olanlar kurucu tarafından Türkiye çapında yayın yapan en az 2 gazetenin Türkiye baskısında ilan </w:t>
      </w:r>
      <w:r>
        <w:rPr>
          <w:color w:val="000000"/>
        </w:rPr>
        <w:t>yoluyla duyurulur. Söz konusu hususlar ilandan en az 10 işgünü sonra yürürlüğe girer.</w:t>
      </w:r>
    </w:p>
    <w:p w:rsidR="00693105" w:rsidRDefault="00932466">
      <w:pPr>
        <w:numPr>
          <w:ilvl w:val="0"/>
          <w:numId w:val="9"/>
        </w:numPr>
        <w:rPr>
          <w:color w:val="000000"/>
        </w:rPr>
      </w:pPr>
      <w:r>
        <w:rPr>
          <w:color w:val="000000"/>
        </w:rPr>
        <w:t>İzahnamede tescil edilen hususlarda bir değişiklik yapılacak olursa bunlar ticaret siciline tescil ettirilerek izahname eki haline getirilir. Yeni bir tutar artırımına ka</w:t>
      </w:r>
      <w:r>
        <w:rPr>
          <w:color w:val="000000"/>
        </w:rPr>
        <w:t xml:space="preserve">dar bu izahname geçerli olup, ekleri ile beraber her yatırım dönemi başlangıç tarihinde birleştirilerek tek bir metin haline getirilir. Ancak bu birleştirmeden dolayı yeni bir tescil yapılmaz. İzahname ve içtüzük katılma payı alım satımı yapılan yerlerden </w:t>
      </w:r>
      <w:r>
        <w:rPr>
          <w:color w:val="000000"/>
        </w:rPr>
        <w:t>ücretsiz olarak temin edilir.</w:t>
      </w:r>
    </w:p>
    <w:p w:rsidR="00693105" w:rsidRDefault="00932466">
      <w:pPr>
        <w:numPr>
          <w:ilvl w:val="0"/>
          <w:numId w:val="9"/>
        </w:numPr>
        <w:rPr>
          <w:color w:val="000000"/>
        </w:rPr>
      </w:pPr>
      <w:r>
        <w:rPr>
          <w:color w:val="000000"/>
        </w:rPr>
        <w:t xml:space="preserve">Katılma payları müşteri bazında Merkezi Kayıt Kuruluşu A.Ş. nezdinde izlenmekte olup, tasarruf sahipleri kurucudan veya alım satıma aracılık eden kuruluşlardan hesap durumları hakkında her zaman bilgi talep edebilirler. </w:t>
      </w:r>
    </w:p>
    <w:p w:rsidR="00693105" w:rsidRDefault="00932466">
      <w:pPr>
        <w:numPr>
          <w:ilvl w:val="0"/>
          <w:numId w:val="9"/>
        </w:numPr>
        <w:rPr>
          <w:color w:val="000000"/>
        </w:rPr>
      </w:pPr>
      <w:r>
        <w:rPr>
          <w:color w:val="000000"/>
        </w:rPr>
        <w:t>Savaş</w:t>
      </w:r>
      <w:r>
        <w:rPr>
          <w:color w:val="000000"/>
        </w:rPr>
        <w:t xml:space="preserve">, ekonomik kriz, iletişim sistemlerinin çökmesi, menkul kıymetlerin ilgili olduğu piyasanın kapanması, bilgisayar sistemlerinde meydana gelebilecek arızalar gibi olağanüstü olayların ortaya çıkması durumlarında, Sermaye Piyasası Kurulu’nun izni ve Sermaye </w:t>
      </w:r>
      <w:r>
        <w:rPr>
          <w:color w:val="000000"/>
        </w:rPr>
        <w:t>Piyasası Kurulu düzenlemeleri çerçevesinde tasarruf sahiplerine bilgi verilmesi suretiyle katılma payı birim pay değerleri hesaplanmayabilir ve alım satımlar durdurulabilir.</w:t>
      </w:r>
    </w:p>
    <w:p w:rsidR="00693105" w:rsidRDefault="00693105"/>
    <w:p w:rsidR="00693105" w:rsidRDefault="00932466">
      <w:pPr>
        <w:pStyle w:val="Heading2"/>
      </w:pPr>
      <w:r>
        <w:t>XII. TASFİYE SONUCUNA İŞTİRAK:</w:t>
      </w:r>
    </w:p>
    <w:p w:rsidR="00693105" w:rsidRDefault="00693105"/>
    <w:p w:rsidR="00693105" w:rsidRDefault="00932466">
      <w:r>
        <w:t>Fon, aşağıda belirtilen nedenlerle sona erer ;</w:t>
      </w:r>
    </w:p>
    <w:p w:rsidR="00693105" w:rsidRDefault="00693105"/>
    <w:p w:rsidR="00693105" w:rsidRDefault="00932466">
      <w:pPr>
        <w:numPr>
          <w:ilvl w:val="0"/>
          <w:numId w:val="11"/>
        </w:numPr>
      </w:pPr>
      <w:r>
        <w:t>Fon içtüzüğünde bir süre öngörülmüş ise bunun sona ermesi,</w:t>
      </w:r>
    </w:p>
    <w:p w:rsidR="00693105" w:rsidRDefault="00932466">
      <w:pPr>
        <w:numPr>
          <w:ilvl w:val="0"/>
          <w:numId w:val="11"/>
        </w:numPr>
      </w:pPr>
      <w:r>
        <w:t>Kurucunun fon kurma koşullarını kaybetmesi,</w:t>
      </w:r>
    </w:p>
    <w:p w:rsidR="00693105" w:rsidRDefault="00932466">
      <w:pPr>
        <w:numPr>
          <w:ilvl w:val="0"/>
          <w:numId w:val="11"/>
        </w:numPr>
      </w:pPr>
      <w:r>
        <w:t xml:space="preserve">Kurucunun mali durumunun zayıflaması, fonun kendi maliyetlerini karşılayamaz durumda olması ve benzer nedenlerle fonun devamının yatırımcıların yararına </w:t>
      </w:r>
      <w:r>
        <w:t>olmayacağının Kurulca tespit edilmiş olması.</w:t>
      </w:r>
    </w:p>
    <w:p w:rsidR="00693105" w:rsidRDefault="00693105"/>
    <w:p w:rsidR="00693105" w:rsidRDefault="00932466">
      <w:pPr>
        <w:ind w:firstLine="708"/>
        <w:rPr>
          <w:color w:val="000000"/>
        </w:rPr>
      </w:pPr>
      <w:r>
        <w:rPr>
          <w:color w:val="000000"/>
        </w:rPr>
        <w:t>Fonun sona ermesi durumunda fon portföyündeki varlıklar kurucu tarafından borsada satılır, fonun taraf olduğu borsada işlem görmeyen sözleşmeler ise tasfiye edilir. Bu şekilde satışı mümkün olmayan fon mevcudu,</w:t>
      </w:r>
      <w:r>
        <w:rPr>
          <w:color w:val="000000"/>
        </w:rPr>
        <w:t xml:space="preserve"> açık artırma veya pazarlık veya her iki usulün uygulanması suretiyle satılarak paraya çevrilebilir. Bu yolla nakde dönüşen Fon varlığı, katılma payı sahiplerine payları oranında dağıtılır. Fesih anından itibaren hiçbir katılma payı ihraç edilemez ve geri </w:t>
      </w:r>
      <w:r>
        <w:rPr>
          <w:color w:val="000000"/>
        </w:rPr>
        <w:t>alınamaz.</w:t>
      </w:r>
    </w:p>
    <w:p w:rsidR="00693105" w:rsidRDefault="00693105">
      <w:pPr>
        <w:rPr>
          <w:color w:val="000000"/>
        </w:rPr>
      </w:pPr>
    </w:p>
    <w:p w:rsidR="00693105" w:rsidRDefault="00932466">
      <w:pPr>
        <w:ind w:firstLine="708"/>
        <w:rPr>
          <w:color w:val="000000"/>
        </w:rPr>
      </w:pPr>
      <w:r>
        <w:rPr>
          <w:color w:val="000000"/>
        </w:rPr>
        <w:t>Kurucunun iflası halinde Kurul, fonu uygun göreceği başka bir kuruluşa tasfiye amacıyla devreder. Saklayıcı kurumun iflası halinde kurucu, fon varlığını Kurul'ca uygun görülecek başka bir kuruluşa devreder.</w:t>
      </w:r>
    </w:p>
    <w:p w:rsidR="00693105" w:rsidRDefault="00693105"/>
    <w:p w:rsidR="00693105" w:rsidRDefault="00932466">
      <w:pPr>
        <w:pStyle w:val="Heading2"/>
        <w:rPr>
          <w:color w:val="000000"/>
        </w:rPr>
      </w:pPr>
      <w:r>
        <w:rPr>
          <w:color w:val="000000"/>
        </w:rPr>
        <w:t>XIII. HALKA ARZLA İLGİLİ BİLGİLER:</w:t>
      </w:r>
    </w:p>
    <w:p w:rsidR="00693105" w:rsidRDefault="00693105"/>
    <w:p w:rsidR="00693105" w:rsidRDefault="00932466">
      <w:r>
        <w:t>F</w:t>
      </w:r>
      <w:r>
        <w:t xml:space="preserve">on katılma payları talep toplama yöntemi ile halka arz edilecektir. Alım satım esaslarına ilişkin genel bilgiler ile talep toplama dönemine ilişkin bilgiler ve bu dönemde uygulanacak alım satım esasları aşağıdaki gibidir  </w:t>
      </w:r>
      <w:r>
        <w:rPr>
          <w:i/>
        </w:rPr>
        <w:t>:</w:t>
      </w:r>
    </w:p>
    <w:p w:rsidR="00693105" w:rsidRDefault="00693105"/>
    <w:p w:rsidR="00693105" w:rsidRDefault="00932466">
      <w:pPr>
        <w:pStyle w:val="BodyText"/>
        <w:rPr>
          <w:b/>
          <w:snapToGrid w:val="0"/>
          <w:szCs w:val="24"/>
          <w:u w:val="single"/>
        </w:rPr>
      </w:pPr>
      <w:r>
        <w:rPr>
          <w:b/>
          <w:snapToGrid w:val="0"/>
          <w:szCs w:val="24"/>
          <w:u w:val="single"/>
        </w:rPr>
        <w:t xml:space="preserve">Genel Esaslar </w:t>
      </w:r>
    </w:p>
    <w:p w:rsidR="00693105" w:rsidRDefault="00693105">
      <w:pPr>
        <w:pStyle w:val="BodyText"/>
        <w:rPr>
          <w:b/>
          <w:snapToGrid w:val="0"/>
          <w:szCs w:val="24"/>
        </w:rPr>
      </w:pPr>
    </w:p>
    <w:p w:rsidR="00693105" w:rsidRDefault="00932466">
      <w:pPr>
        <w:rPr>
          <w:snapToGrid w:val="0"/>
        </w:rPr>
      </w:pPr>
      <w:r>
        <w:rPr>
          <w:snapToGrid w:val="0"/>
        </w:rPr>
        <w:t>Fon payları için talep toplama başlangıç ve bitiş tarihleri ile fonun yatırım dönemi yukarıda  belirtilmektedir.</w:t>
      </w:r>
      <w:r>
        <w:t xml:space="preserve"> </w:t>
      </w:r>
      <w:r>
        <w:rPr>
          <w:snapToGrid w:val="0"/>
        </w:rPr>
        <w:t xml:space="preserve">Yatırımcıların bu izahnamede ilan edilecek olan yatırım döneminin sonuna kadar, katılma paylarını elde tutmaları esastır. Talep toplama dönemi </w:t>
      </w:r>
      <w:r>
        <w:rPr>
          <w:snapToGrid w:val="0"/>
        </w:rPr>
        <w:t xml:space="preserve">sonrasında pay satışı yapılabilecek ancak yeni pay alım talimatı verilemeyecektir. </w:t>
      </w:r>
    </w:p>
    <w:p w:rsidR="00693105" w:rsidRDefault="00693105">
      <w:pPr>
        <w:rPr>
          <w:snapToGrid w:val="0"/>
        </w:rPr>
      </w:pPr>
    </w:p>
    <w:p w:rsidR="00693105" w:rsidRDefault="00932466">
      <w:pPr>
        <w:pStyle w:val="BodyText"/>
        <w:rPr>
          <w:snapToGrid w:val="0"/>
          <w:szCs w:val="24"/>
        </w:rPr>
      </w:pPr>
      <w:r>
        <w:rPr>
          <w:szCs w:val="24"/>
        </w:rPr>
        <w:t>Katılma payı satın alınması veya fona iadesinde, Kurucunun izahnamede ilan edeceği katılma payı alım satımının yapılacağı yerlere başvurularak alım satım talimatı verilir.</w:t>
      </w:r>
      <w:r>
        <w:rPr>
          <w:szCs w:val="24"/>
        </w:rPr>
        <w:t xml:space="preserve"> </w:t>
      </w:r>
    </w:p>
    <w:p w:rsidR="00693105" w:rsidRDefault="00693105">
      <w:pPr>
        <w:rPr>
          <w:snapToGrid w:val="0"/>
        </w:rPr>
      </w:pPr>
    </w:p>
    <w:p w:rsidR="00693105" w:rsidRDefault="00932466">
      <w:pPr>
        <w:rPr>
          <w:snapToGrid w:val="0"/>
        </w:rPr>
      </w:pPr>
      <w:r>
        <w:rPr>
          <w:snapToGrid w:val="0"/>
        </w:rPr>
        <w:t>Fonun talep toplama döneminin sonunda, yatırımcı hesaplarındaki tutarlar, ilgili fonun Merkez Şube’deki hesabına aktarılmak suretiyle, süreç tamamlanacaktır. Fonun yatırım döneminin bitişini takip eden 3. işgünü ise, anapara ve fon getirisine katılım mi</w:t>
      </w:r>
      <w:r>
        <w:rPr>
          <w:snapToGrid w:val="0"/>
        </w:rPr>
        <w:t xml:space="preserve">ktarları, Merkez Şube nezdindeki ilgili koruma amaçlı fon hesabından katılma payı sahiplerinin ilgili şubelerdeki kendi hesaplarına aktarılacaktır. </w:t>
      </w:r>
    </w:p>
    <w:p w:rsidR="00693105" w:rsidRDefault="00693105">
      <w:pPr>
        <w:rPr>
          <w:snapToGrid w:val="0"/>
        </w:rPr>
      </w:pPr>
    </w:p>
    <w:p w:rsidR="00693105" w:rsidRDefault="00932466">
      <w:pPr>
        <w:rPr>
          <w:snapToGrid w:val="0"/>
        </w:rPr>
      </w:pPr>
      <w:r>
        <w:t xml:space="preserve">Kurucu’nun kendi adına yapacağı işlemler de dahil alınan </w:t>
      </w:r>
      <w:r>
        <w:rPr>
          <w:snapToGrid w:val="0"/>
        </w:rPr>
        <w:t>tüm katılma payı alım satım talimatlarına alım ve</w:t>
      </w:r>
      <w:r>
        <w:rPr>
          <w:snapToGrid w:val="0"/>
        </w:rPr>
        <w:t xml:space="preserve"> satım talimatları için ayrı ayrı olmak üzere müteselsil sıra numarası verilir ve işlemler bu öncelik sırasına göre gerçekleştirilir.</w:t>
      </w:r>
    </w:p>
    <w:p w:rsidR="00693105" w:rsidRDefault="00693105">
      <w:pPr>
        <w:rPr>
          <w:snapToGrid w:val="0"/>
        </w:rPr>
      </w:pPr>
    </w:p>
    <w:p w:rsidR="00693105" w:rsidRDefault="00932466">
      <w:pPr>
        <w:rPr>
          <w:snapToGrid w:val="0"/>
        </w:rPr>
      </w:pPr>
      <w:r>
        <w:rPr>
          <w:snapToGrid w:val="0"/>
        </w:rPr>
        <w:t>Fonunun halka arzı yapıldığı andan itibaren MKK’ya yatırımcı bildirim işlemleri başlayacak ve fon alım/satımlarında da ya</w:t>
      </w:r>
      <w:r>
        <w:rPr>
          <w:snapToGrid w:val="0"/>
        </w:rPr>
        <w:t>tırımcı bilgileri (Alım/Satım Adet ve Kimlik bilgileri) MKK’ya  bildirilecektir.</w:t>
      </w:r>
    </w:p>
    <w:p w:rsidR="00693105" w:rsidRDefault="00693105">
      <w:pPr>
        <w:rPr>
          <w:b/>
          <w:snapToGrid w:val="0"/>
        </w:rPr>
      </w:pPr>
    </w:p>
    <w:p w:rsidR="00693105" w:rsidRDefault="00693105">
      <w:pPr>
        <w:rPr>
          <w:b/>
          <w:snapToGrid w:val="0"/>
        </w:rPr>
      </w:pPr>
    </w:p>
    <w:p w:rsidR="00693105" w:rsidRDefault="00693105">
      <w:pPr>
        <w:rPr>
          <w:b/>
          <w:snapToGrid w:val="0"/>
        </w:rPr>
      </w:pPr>
    </w:p>
    <w:p w:rsidR="00693105" w:rsidRDefault="00693105">
      <w:pPr>
        <w:rPr>
          <w:b/>
          <w:snapToGrid w:val="0"/>
        </w:rPr>
      </w:pPr>
    </w:p>
    <w:p w:rsidR="00693105" w:rsidRDefault="00693105">
      <w:pPr>
        <w:rPr>
          <w:b/>
          <w:snapToGrid w:val="0"/>
        </w:rPr>
      </w:pPr>
    </w:p>
    <w:p w:rsidR="00693105" w:rsidRDefault="00693105">
      <w:pPr>
        <w:rPr>
          <w:b/>
          <w:snapToGrid w:val="0"/>
        </w:rPr>
      </w:pPr>
    </w:p>
    <w:p w:rsidR="00693105" w:rsidRDefault="00932466">
      <w:pPr>
        <w:rPr>
          <w:b/>
          <w:snapToGrid w:val="0"/>
          <w:u w:val="single"/>
        </w:rPr>
      </w:pPr>
      <w:r>
        <w:rPr>
          <w:b/>
          <w:snapToGrid w:val="0"/>
          <w:u w:val="single"/>
        </w:rPr>
        <w:t>Talep Toplama Dönemi</w:t>
      </w:r>
    </w:p>
    <w:p w:rsidR="00693105" w:rsidRDefault="00693105">
      <w:pPr>
        <w:rPr>
          <w:b/>
          <w:snapToGrid w:val="0"/>
          <w:u w:val="single"/>
        </w:rPr>
      </w:pPr>
    </w:p>
    <w:p w:rsidR="00693105" w:rsidRDefault="00932466">
      <w:pPr>
        <w:ind w:firstLine="708"/>
        <w:rPr>
          <w:b/>
          <w:snapToGrid w:val="0"/>
          <w:u w:val="single"/>
        </w:rPr>
      </w:pPr>
      <w:r>
        <w:rPr>
          <w:b/>
          <w:snapToGrid w:val="0"/>
          <w:u w:val="single"/>
        </w:rPr>
        <w:t xml:space="preserve">Alım Talimatları  </w:t>
      </w:r>
    </w:p>
    <w:p w:rsidR="00693105" w:rsidRDefault="00693105"/>
    <w:p w:rsidR="00693105" w:rsidRDefault="00932466">
      <w:r>
        <w:t>Fonun asgari pay alım miktarı 500.000 pay (5.000 YTL) olup, bir payın satış fiyatı 0,01 YTL’dir.</w:t>
      </w:r>
      <w:r>
        <w:t xml:space="preserve"> Talep toplama döneminde katılma payı satın alınmak istenmesi halinde Kurucunun izahnamede ilan edeceği katılma payı alım satımının yapılacağı yerlere başvurularak talep formu doldurulmalı ve imzalanmalıdır. </w:t>
      </w:r>
    </w:p>
    <w:p w:rsidR="00693105" w:rsidRDefault="00693105"/>
    <w:p w:rsidR="00693105" w:rsidRDefault="00932466">
      <w:r>
        <w:t>Fon izahnamesinde ilan edilecek olan talep top</w:t>
      </w:r>
      <w:r>
        <w:t xml:space="preserve">lama başlangıç ve bitiş tarihleri arasında her gün 09:00 - 12:30 saatleri arasında pay alım talepleri kabul edilecektir. </w:t>
      </w:r>
    </w:p>
    <w:p w:rsidR="00693105" w:rsidRDefault="00693105"/>
    <w:p w:rsidR="00693105" w:rsidRDefault="00932466">
      <w:r>
        <w:t>Talep edilen tutar, talep toplama döneminin sonuna kadar yatırımcı adına Likit Fon alınmak suretiyle nemalandırılır. Talep toplama sü</w:t>
      </w:r>
      <w:r>
        <w:t>resinin sona erdiği tarihi itibariyle yatırımcı hesabında bulunan bakiye fon payı alımı için kullanılır, nema tutarı ise yatırımcılara iade edilir.</w:t>
      </w:r>
    </w:p>
    <w:p w:rsidR="00693105" w:rsidRDefault="00693105"/>
    <w:p w:rsidR="00693105" w:rsidRDefault="00932466">
      <w:pPr>
        <w:ind w:firstLine="708"/>
        <w:rPr>
          <w:b/>
        </w:rPr>
      </w:pPr>
      <w:r>
        <w:rPr>
          <w:b/>
        </w:rPr>
        <w:t xml:space="preserve">Alım Bedellerinin Tahsil Esasları </w:t>
      </w:r>
    </w:p>
    <w:p w:rsidR="00693105" w:rsidRDefault="00693105"/>
    <w:p w:rsidR="00693105" w:rsidRDefault="00932466">
      <w:pPr>
        <w:rPr>
          <w:snapToGrid w:val="0"/>
        </w:rPr>
      </w:pPr>
      <w:r>
        <w:t>Alım talimatının verilmesi sırasında, talep edilen katılma payı bedelin</w:t>
      </w:r>
      <w:r>
        <w:t xml:space="preserve">in Kurucu tarafından tahsil edilmesi esastır. </w:t>
      </w:r>
      <w:r>
        <w:rPr>
          <w:snapToGrid w:val="0"/>
        </w:rPr>
        <w:t>Alım talimatları tutar ya da pay olarak verilecektir.</w:t>
      </w:r>
    </w:p>
    <w:p w:rsidR="00693105" w:rsidRDefault="00693105"/>
    <w:p w:rsidR="00693105" w:rsidRDefault="00932466">
      <w:pPr>
        <w:numPr>
          <w:ilvl w:val="0"/>
          <w:numId w:val="20"/>
        </w:numPr>
      </w:pPr>
      <w:r>
        <w:t>Talep toplama döneminde 3.000.000 YTL nin altında kalınması veya iştirak oranının izahnamede belirtilen aralığın altında kalması dahil olmak üzere piyasa ş</w:t>
      </w:r>
      <w:r>
        <w:t>artlarının fonun yatırım stratejisine uygun enstrümanlara daha önce öngörülen uygun koşullarda yatırım yapılmasına imkan sağlamaması halinde, kurucunun kararı ile, talep toplamanın son gününü takip eden ilk işgünü saat 12:30 itibariyle halka arzın iptaline</w:t>
      </w:r>
      <w:r>
        <w:t xml:space="preserve"> karar verilebilir. Bu halde, bu durum, ortaya çıktığı gün, Kurucunun internet sitesinde, fonun kamuyu sürekli bilgilendirme formu aracılığıyla ve Kurucu tarafından uygun görülen diğer yöntemlerle yatırımcılara duyurulur ve konu hakkında Kurula bilgi veril</w:t>
      </w:r>
      <w:r>
        <w:t xml:space="preserve">ir. </w:t>
      </w:r>
    </w:p>
    <w:p w:rsidR="00693105" w:rsidRDefault="00693105"/>
    <w:p w:rsidR="00693105" w:rsidRDefault="00932466">
      <w:pPr>
        <w:numPr>
          <w:ilvl w:val="0"/>
          <w:numId w:val="20"/>
        </w:numPr>
      </w:pPr>
      <w:r>
        <w:t xml:space="preserve">Talep toplama süresi sonunda, geçerli taleplerin fonun toplam pay sayısından az olması halinde, bütün alım emirleri %100 oranında karşılanacaktır. </w:t>
      </w:r>
    </w:p>
    <w:p w:rsidR="00693105" w:rsidRDefault="00693105">
      <w:pPr>
        <w:ind w:left="360"/>
      </w:pPr>
    </w:p>
    <w:p w:rsidR="00693105" w:rsidRDefault="00932466">
      <w:pPr>
        <w:numPr>
          <w:ilvl w:val="0"/>
          <w:numId w:val="20"/>
        </w:numPr>
      </w:pPr>
      <w:r>
        <w:t>Talep toplama süreci içerisinde fona gelecek toplam talebin bu içtüzükte belirlenmiş fon tutarından b</w:t>
      </w:r>
      <w:r>
        <w:t>üyük olması halinde aşağıdaki yöntem takip edilecektir;</w:t>
      </w:r>
    </w:p>
    <w:p w:rsidR="00693105" w:rsidRDefault="00693105"/>
    <w:p w:rsidR="00693105" w:rsidRDefault="00932466">
      <w:pPr>
        <w:numPr>
          <w:ilvl w:val="0"/>
          <w:numId w:val="18"/>
        </w:numPr>
      </w:pPr>
      <w:r>
        <w:t>Yatırımcı hesaplarına dağıtılacak olan paylar, ilk önce tüm yatırımcı talepleri karşılanacak şekilde asgari pay alım miktarı dikkate alınarak, her yatırımcı hesabına 500.000 pay verilecek şekilde dağ</w:t>
      </w:r>
      <w:r>
        <w:t>ıtılır.</w:t>
      </w:r>
    </w:p>
    <w:p w:rsidR="00693105" w:rsidRDefault="00932466">
      <w:pPr>
        <w:numPr>
          <w:ilvl w:val="0"/>
          <w:numId w:val="18"/>
        </w:numPr>
      </w:pPr>
      <w:r>
        <w:t xml:space="preserve">Yatırımcı hesaplarına 500.000 pay dağıtıldıktan sonra fon paylarının kalan adedi, zaman önceliği esasına göre her bir yatırımcı talebinin %10’una isabet edecek şekilde tekrar dağıtılır. </w:t>
      </w:r>
    </w:p>
    <w:p w:rsidR="00693105" w:rsidRDefault="00932466">
      <w:pPr>
        <w:numPr>
          <w:ilvl w:val="0"/>
          <w:numId w:val="18"/>
        </w:numPr>
      </w:pPr>
      <w:r>
        <w:t xml:space="preserve">Yatırımcı taleplerinin karşılanamayan miktarına tekabül eden </w:t>
      </w:r>
      <w:r>
        <w:t>tutarlar, talep toplama süresinin sona erdiği işgününü takip eden işgünü yatırımcı hesaplarına geçilir.</w:t>
      </w:r>
    </w:p>
    <w:p w:rsidR="00693105" w:rsidRDefault="00693105">
      <w:pPr>
        <w:rPr>
          <w:b/>
          <w:color w:val="000000"/>
        </w:rPr>
      </w:pPr>
    </w:p>
    <w:p w:rsidR="00693105" w:rsidRDefault="00693105">
      <w:pPr>
        <w:rPr>
          <w:b/>
          <w:color w:val="000000"/>
        </w:rPr>
      </w:pPr>
    </w:p>
    <w:p w:rsidR="00693105" w:rsidRDefault="00693105">
      <w:pPr>
        <w:rPr>
          <w:b/>
          <w:color w:val="000000"/>
        </w:rPr>
      </w:pPr>
    </w:p>
    <w:p w:rsidR="00693105" w:rsidRDefault="00693105">
      <w:pPr>
        <w:rPr>
          <w:b/>
          <w:color w:val="000000"/>
        </w:rPr>
      </w:pPr>
    </w:p>
    <w:p w:rsidR="00693105" w:rsidRDefault="00693105">
      <w:pPr>
        <w:rPr>
          <w:b/>
          <w:color w:val="000000"/>
        </w:rPr>
      </w:pPr>
    </w:p>
    <w:p w:rsidR="00693105" w:rsidRDefault="00932466">
      <w:pPr>
        <w:ind w:firstLine="708"/>
        <w:rPr>
          <w:b/>
          <w:color w:val="000000"/>
        </w:rPr>
      </w:pPr>
      <w:r>
        <w:rPr>
          <w:b/>
          <w:color w:val="000000"/>
        </w:rPr>
        <w:t>Satım Talimatları</w:t>
      </w:r>
    </w:p>
    <w:p w:rsidR="00693105" w:rsidRDefault="00693105"/>
    <w:p w:rsidR="00693105" w:rsidRDefault="00932466">
      <w:pPr>
        <w:pStyle w:val="FootnoteText"/>
        <w:rPr>
          <w:sz w:val="24"/>
          <w:szCs w:val="24"/>
        </w:rPr>
      </w:pPr>
      <w:r>
        <w:rPr>
          <w:sz w:val="24"/>
          <w:szCs w:val="24"/>
        </w:rPr>
        <w:t>Talep toplama döneminde pay satım talebinde bulunulması mümkün olmayıp, yatırımcıların talep toplama dönemi içinde verdikleri al</w:t>
      </w:r>
      <w:r>
        <w:rPr>
          <w:sz w:val="24"/>
          <w:szCs w:val="24"/>
        </w:rPr>
        <w:t xml:space="preserve">ım talimatlarını iptal etmeleri mümkündür. Ancak, talep toplama döneminin son günü saat 12:30’dan sonra talep iptali mümkün değildir. </w:t>
      </w:r>
    </w:p>
    <w:p w:rsidR="00693105" w:rsidRDefault="00693105">
      <w:pPr>
        <w:pStyle w:val="FootnoteText"/>
        <w:rPr>
          <w:sz w:val="24"/>
          <w:szCs w:val="24"/>
        </w:rPr>
      </w:pPr>
    </w:p>
    <w:p w:rsidR="00693105" w:rsidRDefault="00932466">
      <w:pPr>
        <w:rPr>
          <w:rFonts w:cs="Arial"/>
          <w:b/>
          <w:bCs/>
          <w:iCs/>
          <w:color w:val="000000"/>
          <w:sz w:val="28"/>
          <w:szCs w:val="28"/>
        </w:rPr>
      </w:pPr>
      <w:r>
        <w:rPr>
          <w:rFonts w:cs="Arial"/>
          <w:b/>
          <w:bCs/>
          <w:iCs/>
          <w:color w:val="000000"/>
          <w:sz w:val="28"/>
          <w:szCs w:val="28"/>
        </w:rPr>
        <w:t>XIV. YATIRIM DÖNEMİ İÇERİSİNDEKİ KATILMA PAYI ALIM SATIM İŞLEMLERİNE İLİŞKİN BİLGİLER:</w:t>
      </w:r>
    </w:p>
    <w:p w:rsidR="00693105" w:rsidRDefault="00693105">
      <w:pPr>
        <w:rPr>
          <w:b/>
        </w:rPr>
      </w:pPr>
    </w:p>
    <w:p w:rsidR="00693105" w:rsidRDefault="00932466">
      <w:pPr>
        <w:rPr>
          <w:snapToGrid w:val="0"/>
        </w:rPr>
      </w:pPr>
      <w:r>
        <w:rPr>
          <w:snapToGrid w:val="0"/>
        </w:rPr>
        <w:t xml:space="preserve">Fonun Yatırım Dönemi’nde </w:t>
      </w:r>
      <w:r>
        <w:rPr>
          <w:snapToGrid w:val="0"/>
        </w:rPr>
        <w:t>uygulanacak alım ve satım talimatlarına ilişkin esaslar aşağıda yer almaktadır:</w:t>
      </w:r>
    </w:p>
    <w:p w:rsidR="00693105" w:rsidRDefault="00693105">
      <w:pPr>
        <w:rPr>
          <w:b/>
          <w:snapToGrid w:val="0"/>
        </w:rPr>
      </w:pPr>
    </w:p>
    <w:p w:rsidR="00693105" w:rsidRDefault="00932466">
      <w:pPr>
        <w:rPr>
          <w:b/>
          <w:snapToGrid w:val="0"/>
        </w:rPr>
      </w:pPr>
      <w:r>
        <w:rPr>
          <w:b/>
        </w:rPr>
        <w:t>Alım Talimatları</w:t>
      </w:r>
    </w:p>
    <w:p w:rsidR="00693105" w:rsidRDefault="00693105">
      <w:pPr>
        <w:rPr>
          <w:b/>
          <w:snapToGrid w:val="0"/>
        </w:rPr>
      </w:pPr>
    </w:p>
    <w:p w:rsidR="00693105" w:rsidRDefault="00932466">
      <w:pPr>
        <w:rPr>
          <w:snapToGrid w:val="0"/>
        </w:rPr>
      </w:pPr>
      <w:r>
        <w:rPr>
          <w:snapToGrid w:val="0"/>
        </w:rPr>
        <w:t xml:space="preserve">Fonun talep toplama döneminden sonra yatırım döneminin bitimine kadar olan süre içinde alım talimatı verilemeyecektir. </w:t>
      </w:r>
    </w:p>
    <w:p w:rsidR="00693105" w:rsidRDefault="00693105">
      <w:pPr>
        <w:pStyle w:val="BodyText"/>
        <w:rPr>
          <w:szCs w:val="24"/>
        </w:rPr>
      </w:pPr>
    </w:p>
    <w:p w:rsidR="00693105" w:rsidRDefault="00932466">
      <w:pPr>
        <w:rPr>
          <w:b/>
          <w:color w:val="000000"/>
        </w:rPr>
      </w:pPr>
      <w:r>
        <w:rPr>
          <w:b/>
          <w:color w:val="000000"/>
        </w:rPr>
        <w:t>Satım Talimatları</w:t>
      </w:r>
    </w:p>
    <w:p w:rsidR="00693105" w:rsidRDefault="00693105">
      <w:pPr>
        <w:rPr>
          <w:b/>
          <w:color w:val="000000"/>
        </w:rPr>
      </w:pPr>
    </w:p>
    <w:p w:rsidR="00693105" w:rsidRDefault="00932466">
      <w:r>
        <w:rPr>
          <w:snapToGrid w:val="0"/>
        </w:rPr>
        <w:t>Fon pay fiyatı ay</w:t>
      </w:r>
      <w:r>
        <w:rPr>
          <w:snapToGrid w:val="0"/>
        </w:rPr>
        <w:t xml:space="preserve">da 2 (iki) defa olmak üzere her ayın 1. ve 15. günü açıklanacak olup, fiyat açıklama günlerinin belirlenmesinde Türkiye ve İngiltere (Londra) piyasalarındaki tatil günleri birlikte dikkate alınacaktır. </w:t>
      </w:r>
      <w:r>
        <w:t xml:space="preserve">Satım talimatları ayda sadece bir defa ve her ayın 1. </w:t>
      </w:r>
      <w:r>
        <w:t xml:space="preserve">günü açıklanan fiyat üzerinden yerine getirilecektir. Yatırımcıların satım talimatlarını, fonun fiyat açıklayacağı günlerden en az 15 gün önce Kurucuya iletmeleri gerekmektedir. Bu çerçevede, yatırımcıların her ayın 14. günü saat 12:30’a kadar ilettikleri </w:t>
      </w:r>
      <w:r>
        <w:t xml:space="preserve">satım talimatları takip eden ayın  1. günü açıklanan fiyat üzerinden yerine getirilecektir. Yatırımcıların her ayın 14. günü saat 12:30'dan sonra ilettikleri satım talimatları ise bir sonraki erken çıkış döneminde işleme konacaktır. </w:t>
      </w:r>
    </w:p>
    <w:p w:rsidR="00693105" w:rsidRDefault="00693105">
      <w:pPr>
        <w:pStyle w:val="BodyText"/>
        <w:rPr>
          <w:szCs w:val="24"/>
        </w:rPr>
      </w:pPr>
    </w:p>
    <w:p w:rsidR="00693105" w:rsidRDefault="00932466">
      <w:pPr>
        <w:pStyle w:val="BodyText"/>
        <w:rPr>
          <w:szCs w:val="24"/>
        </w:rPr>
      </w:pPr>
      <w:r>
        <w:rPr>
          <w:szCs w:val="24"/>
        </w:rPr>
        <w:t xml:space="preserve">Yatırımcı tarafından </w:t>
      </w:r>
      <w:r>
        <w:rPr>
          <w:szCs w:val="24"/>
        </w:rPr>
        <w:t>verilecek satım talimatlarının gerçekleştirilebilmesi için, söz konusu talimatların asgari 50.000 YTL ya da 5.000.000 pay şeklinde verilmesi gerekir. Aksi takdirde satım talimatları yerine getirilmeyecektir.</w:t>
      </w:r>
    </w:p>
    <w:p w:rsidR="00693105" w:rsidRDefault="00693105">
      <w:pPr>
        <w:pStyle w:val="BodyText"/>
        <w:rPr>
          <w:szCs w:val="24"/>
        </w:rPr>
      </w:pPr>
    </w:p>
    <w:p w:rsidR="00693105" w:rsidRDefault="00932466">
      <w:pPr>
        <w:pStyle w:val="BodyText"/>
        <w:rPr>
          <w:szCs w:val="24"/>
        </w:rPr>
      </w:pPr>
      <w:r>
        <w:rPr>
          <w:szCs w:val="24"/>
        </w:rPr>
        <w:t>Yatırımcıların yukarıdaki esaslara göre ilettik</w:t>
      </w:r>
      <w:r>
        <w:rPr>
          <w:szCs w:val="24"/>
        </w:rPr>
        <w:t>leri talimatlar neticesinde satım bedelleri, talimatın gerçekleştirileceği fiyat açıklama tarihinden sonraki 3. işgünü (T+3) yatırımcılara ödenir. Yatırımcı hesabına aktarılacak bakiye, %5 oranındaki erken çıkış komisyonu düşülerek hesaplanır. Paylarını ya</w:t>
      </w:r>
      <w:r>
        <w:rPr>
          <w:szCs w:val="24"/>
        </w:rPr>
        <w:t xml:space="preserve">tırım dönemi sonuna kadar elde tutan yatırımcılardan komisyon alınmayacaktır. </w:t>
      </w:r>
    </w:p>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693105"/>
    <w:p w:rsidR="00693105" w:rsidRDefault="00932466">
      <w:pPr>
        <w:rPr>
          <w:b/>
          <w:color w:val="000000"/>
        </w:rPr>
      </w:pPr>
      <w:r>
        <w:rPr>
          <w:b/>
          <w:color w:val="000000"/>
        </w:rPr>
        <w:t>XV. FONA İLİŞKİN KAMUYU AYDINLATMA BELGELERİ VE PAY ALIM SATIM YERLERİ:</w:t>
      </w:r>
    </w:p>
    <w:p w:rsidR="00693105" w:rsidRDefault="00693105"/>
    <w:p w:rsidR="00693105" w:rsidRDefault="00932466">
      <w:pPr>
        <w:numPr>
          <w:ilvl w:val="0"/>
          <w:numId w:val="13"/>
        </w:numPr>
      </w:pPr>
      <w:r>
        <w:t>Fon İçtüzüğü ve İzahnamenin Temin Edilebileceği ve Pay Değerinin İlan Edileceği Yerler :</w:t>
      </w:r>
    </w:p>
    <w:p w:rsidR="00693105" w:rsidRDefault="00693105">
      <w:pPr>
        <w:ind w:left="360"/>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693105">
        <w:tc>
          <w:tcPr>
            <w:tcW w:w="3060" w:type="dxa"/>
          </w:tcPr>
          <w:p w:rsidR="00693105" w:rsidRDefault="00932466">
            <w:pPr>
              <w:rPr>
                <w:b/>
              </w:rPr>
            </w:pPr>
            <w:r>
              <w:rPr>
                <w:b/>
              </w:rPr>
              <w:t>UNVAN</w:t>
            </w:r>
          </w:p>
        </w:tc>
        <w:tc>
          <w:tcPr>
            <w:tcW w:w="4140" w:type="dxa"/>
          </w:tcPr>
          <w:p w:rsidR="00693105" w:rsidRDefault="00932466">
            <w:pPr>
              <w:rPr>
                <w:b/>
              </w:rPr>
            </w:pPr>
            <w:r>
              <w:rPr>
                <w:b/>
              </w:rPr>
              <w:t>ADRES</w:t>
            </w:r>
          </w:p>
        </w:tc>
        <w:tc>
          <w:tcPr>
            <w:tcW w:w="2012" w:type="dxa"/>
          </w:tcPr>
          <w:p w:rsidR="00693105" w:rsidRDefault="00932466">
            <w:pPr>
              <w:rPr>
                <w:b/>
              </w:rPr>
            </w:pPr>
            <w:r>
              <w:rPr>
                <w:b/>
              </w:rPr>
              <w:t>TELEFON NO</w:t>
            </w:r>
          </w:p>
        </w:tc>
      </w:tr>
      <w:tr w:rsidR="00693105">
        <w:tc>
          <w:tcPr>
            <w:tcW w:w="3060" w:type="dxa"/>
          </w:tcPr>
          <w:p w:rsidR="00693105" w:rsidRDefault="00932466">
            <w:r>
              <w:t>Türk Ekonomi Bankası A.Ş.</w:t>
            </w:r>
          </w:p>
        </w:tc>
        <w:tc>
          <w:tcPr>
            <w:tcW w:w="4140" w:type="dxa"/>
          </w:tcPr>
          <w:p w:rsidR="00693105" w:rsidRDefault="00932466">
            <w:r>
              <w:t>Meclisi Mebusan Caddesi No:35 Fındıklı/İSTANBUL</w:t>
            </w:r>
          </w:p>
        </w:tc>
        <w:tc>
          <w:tcPr>
            <w:tcW w:w="2012" w:type="dxa"/>
          </w:tcPr>
          <w:p w:rsidR="00693105" w:rsidRDefault="00932466">
            <w:r>
              <w:t>0212 251 21 21</w:t>
            </w:r>
          </w:p>
        </w:tc>
      </w:tr>
    </w:tbl>
    <w:p w:rsidR="00693105" w:rsidRDefault="00693105">
      <w:pPr>
        <w:ind w:left="360"/>
      </w:pPr>
    </w:p>
    <w:p w:rsidR="00693105" w:rsidRDefault="00932466">
      <w:pPr>
        <w:numPr>
          <w:ilvl w:val="0"/>
          <w:numId w:val="13"/>
        </w:numPr>
      </w:pPr>
      <w:r>
        <w:t>Katılma Payı Alım Satımının Yapılacağı Yerler :</w:t>
      </w:r>
    </w:p>
    <w:p w:rsidR="00693105" w:rsidRDefault="00693105"/>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693105">
        <w:tc>
          <w:tcPr>
            <w:tcW w:w="3060" w:type="dxa"/>
          </w:tcPr>
          <w:p w:rsidR="00693105" w:rsidRDefault="00932466">
            <w:pPr>
              <w:rPr>
                <w:b/>
              </w:rPr>
            </w:pPr>
            <w:r>
              <w:rPr>
                <w:b/>
              </w:rPr>
              <w:t>UNVAN</w:t>
            </w:r>
          </w:p>
        </w:tc>
        <w:tc>
          <w:tcPr>
            <w:tcW w:w="4140" w:type="dxa"/>
          </w:tcPr>
          <w:p w:rsidR="00693105" w:rsidRDefault="00932466">
            <w:pPr>
              <w:rPr>
                <w:b/>
              </w:rPr>
            </w:pPr>
            <w:r>
              <w:rPr>
                <w:b/>
              </w:rPr>
              <w:t>ADRES</w:t>
            </w:r>
          </w:p>
        </w:tc>
        <w:tc>
          <w:tcPr>
            <w:tcW w:w="2012" w:type="dxa"/>
          </w:tcPr>
          <w:p w:rsidR="00693105" w:rsidRDefault="00932466">
            <w:pPr>
              <w:rPr>
                <w:b/>
              </w:rPr>
            </w:pPr>
            <w:r>
              <w:rPr>
                <w:b/>
              </w:rPr>
              <w:t>TELEFON NO</w:t>
            </w:r>
          </w:p>
        </w:tc>
      </w:tr>
      <w:tr w:rsidR="00693105">
        <w:tc>
          <w:tcPr>
            <w:tcW w:w="3060" w:type="dxa"/>
          </w:tcPr>
          <w:p w:rsidR="00693105" w:rsidRDefault="00932466">
            <w:r>
              <w:t>Türk Ekonomi Bankası A.Ş.</w:t>
            </w:r>
          </w:p>
        </w:tc>
        <w:tc>
          <w:tcPr>
            <w:tcW w:w="4140" w:type="dxa"/>
          </w:tcPr>
          <w:p w:rsidR="00693105" w:rsidRDefault="00932466">
            <w:r>
              <w:t xml:space="preserve">Meclisi Mebusan Caddesi No:35 </w:t>
            </w:r>
            <w:r>
              <w:t>Fındıklı/İSTANBUL</w:t>
            </w:r>
          </w:p>
        </w:tc>
        <w:tc>
          <w:tcPr>
            <w:tcW w:w="2012" w:type="dxa"/>
          </w:tcPr>
          <w:p w:rsidR="00693105" w:rsidRDefault="00932466">
            <w:r>
              <w:t>0212 251 21 21</w:t>
            </w:r>
          </w:p>
        </w:tc>
      </w:tr>
    </w:tbl>
    <w:p w:rsidR="00693105" w:rsidRDefault="00693105">
      <w:pPr>
        <w:ind w:left="360"/>
      </w:pPr>
    </w:p>
    <w:p w:rsidR="00693105" w:rsidRDefault="00693105"/>
    <w:p w:rsidR="00693105" w:rsidRDefault="00932466">
      <w:pPr>
        <w:rPr>
          <w:b/>
          <w:color w:val="000000"/>
        </w:rPr>
      </w:pPr>
      <w:r>
        <w:rPr>
          <w:b/>
          <w:color w:val="000000"/>
        </w:rPr>
        <w:t>XVI. KURUCUNUN VE YÖNETİCİNİN MERKEZ ADRES VE TELEFON NUMARALARI:</w:t>
      </w:r>
    </w:p>
    <w:p w:rsidR="00693105" w:rsidRDefault="00693105"/>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693105">
        <w:tc>
          <w:tcPr>
            <w:tcW w:w="3060" w:type="dxa"/>
          </w:tcPr>
          <w:p w:rsidR="00693105" w:rsidRDefault="00932466">
            <w:pPr>
              <w:rPr>
                <w:b/>
              </w:rPr>
            </w:pPr>
            <w:r>
              <w:rPr>
                <w:b/>
              </w:rPr>
              <w:t>KURUCUNUN UNVANI</w:t>
            </w:r>
          </w:p>
        </w:tc>
        <w:tc>
          <w:tcPr>
            <w:tcW w:w="4140" w:type="dxa"/>
          </w:tcPr>
          <w:p w:rsidR="00693105" w:rsidRDefault="00932466">
            <w:pPr>
              <w:rPr>
                <w:b/>
              </w:rPr>
            </w:pPr>
            <w:r>
              <w:rPr>
                <w:b/>
              </w:rPr>
              <w:t>ADRES</w:t>
            </w:r>
          </w:p>
        </w:tc>
        <w:tc>
          <w:tcPr>
            <w:tcW w:w="2012" w:type="dxa"/>
          </w:tcPr>
          <w:p w:rsidR="00693105" w:rsidRDefault="00932466">
            <w:pPr>
              <w:rPr>
                <w:b/>
              </w:rPr>
            </w:pPr>
            <w:r>
              <w:rPr>
                <w:b/>
              </w:rPr>
              <w:t>TELEFON NO</w:t>
            </w:r>
          </w:p>
        </w:tc>
      </w:tr>
      <w:tr w:rsidR="00693105">
        <w:tc>
          <w:tcPr>
            <w:tcW w:w="3060" w:type="dxa"/>
          </w:tcPr>
          <w:p w:rsidR="00693105" w:rsidRDefault="00932466">
            <w:r>
              <w:t>Türk Ekonomi Bankası A.Ş.</w:t>
            </w:r>
          </w:p>
        </w:tc>
        <w:tc>
          <w:tcPr>
            <w:tcW w:w="4140" w:type="dxa"/>
          </w:tcPr>
          <w:p w:rsidR="00693105" w:rsidRDefault="00932466">
            <w:r>
              <w:t>Meclisi Mebusan Caddesi No:35 Fındıklı/İSTANBUL</w:t>
            </w:r>
          </w:p>
        </w:tc>
        <w:tc>
          <w:tcPr>
            <w:tcW w:w="2012" w:type="dxa"/>
          </w:tcPr>
          <w:p w:rsidR="00693105" w:rsidRDefault="00932466">
            <w:r>
              <w:t>0212 251 21 21</w:t>
            </w:r>
          </w:p>
        </w:tc>
      </w:tr>
    </w:tbl>
    <w:p w:rsidR="00693105" w:rsidRDefault="00693105"/>
    <w:p w:rsidR="00693105" w:rsidRDefault="00693105"/>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693105">
        <w:tc>
          <w:tcPr>
            <w:tcW w:w="3060" w:type="dxa"/>
          </w:tcPr>
          <w:p w:rsidR="00693105" w:rsidRDefault="00932466">
            <w:pPr>
              <w:rPr>
                <w:b/>
              </w:rPr>
            </w:pPr>
            <w:r>
              <w:rPr>
                <w:b/>
              </w:rPr>
              <w:t>YÖNETİCİNİN UNVANI</w:t>
            </w:r>
          </w:p>
        </w:tc>
        <w:tc>
          <w:tcPr>
            <w:tcW w:w="4140" w:type="dxa"/>
          </w:tcPr>
          <w:p w:rsidR="00693105" w:rsidRDefault="00932466">
            <w:pPr>
              <w:rPr>
                <w:b/>
              </w:rPr>
            </w:pPr>
            <w:r>
              <w:rPr>
                <w:b/>
              </w:rPr>
              <w:t>ADRES</w:t>
            </w:r>
          </w:p>
        </w:tc>
        <w:tc>
          <w:tcPr>
            <w:tcW w:w="2012" w:type="dxa"/>
          </w:tcPr>
          <w:p w:rsidR="00693105" w:rsidRDefault="00932466">
            <w:pPr>
              <w:rPr>
                <w:b/>
              </w:rPr>
            </w:pPr>
            <w:r>
              <w:rPr>
                <w:b/>
              </w:rPr>
              <w:t>TELEFON NO</w:t>
            </w:r>
          </w:p>
        </w:tc>
      </w:tr>
      <w:tr w:rsidR="00693105">
        <w:tc>
          <w:tcPr>
            <w:tcW w:w="3060" w:type="dxa"/>
          </w:tcPr>
          <w:p w:rsidR="00693105" w:rsidRDefault="00932466">
            <w:r>
              <w:t>TEB Portföy Yönetimi A.Ş.</w:t>
            </w:r>
          </w:p>
        </w:tc>
        <w:tc>
          <w:tcPr>
            <w:tcW w:w="4140" w:type="dxa"/>
          </w:tcPr>
          <w:p w:rsidR="00693105" w:rsidRDefault="00932466">
            <w:r>
              <w:t>Maya Plaza Kat:3 Yıldırım Göker Caddesi Akatlar/İSTANBUL</w:t>
            </w:r>
          </w:p>
        </w:tc>
        <w:tc>
          <w:tcPr>
            <w:tcW w:w="2012" w:type="dxa"/>
          </w:tcPr>
          <w:p w:rsidR="00693105" w:rsidRDefault="00932466">
            <w:r>
              <w:t>0212 352 63 63</w:t>
            </w:r>
          </w:p>
        </w:tc>
      </w:tr>
    </w:tbl>
    <w:p w:rsidR="00693105" w:rsidRDefault="00693105"/>
    <w:p w:rsidR="00693105" w:rsidRDefault="00932466">
      <w:pPr>
        <w:ind w:firstLine="708"/>
      </w:pPr>
      <w:r>
        <w:t>İzahnamede yer alan bilgilerin doğruluğunu kanuni yetki ve sorumluluklarımız çerçevesinde onaylarız. …../…../20…..</w:t>
      </w:r>
    </w:p>
    <w:p w:rsidR="00693105" w:rsidRDefault="00693105">
      <w:pPr>
        <w:ind w:firstLine="708"/>
      </w:pPr>
    </w:p>
    <w:sectPr w:rsidR="00693105">
      <w:footerReference w:type="even" r:id="rId8"/>
      <w:footerReference w:type="default" r:id="rId9"/>
      <w:pgSz w:w="11906" w:h="16838"/>
      <w:pgMar w:top="1418" w:right="1106" w:bottom="1418" w:left="126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497" w:rsidRDefault="00E95497">
      <w:r>
        <w:separator/>
      </w:r>
    </w:p>
    <w:p w:rsidR="00E95497" w:rsidRDefault="00E95497"/>
  </w:endnote>
  <w:endnote w:type="continuationSeparator" w:id="0">
    <w:p w:rsidR="00E95497" w:rsidRDefault="00E95497">
      <w:r>
        <w:continuationSeparator/>
      </w:r>
    </w:p>
    <w:p w:rsidR="00E95497" w:rsidRDefault="00E954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7" w:usb1="00000000" w:usb2="00000000" w:usb3="00000000" w:csb0="0000001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FCD" w:rsidRDefault="00290FCD">
    <w:pPr>
      <w:framePr w:wrap="around" w:vAnchor="text" w:hAnchor="margin" w:xAlign="center" w:y="1"/>
    </w:pPr>
    <w:r>
      <w:fldChar w:fldCharType="begin"/>
    </w:r>
    <w:r>
      <w:instrText xml:space="preserve">PAGE  </w:instrText>
    </w:r>
    <w:r>
      <w:fldChar w:fldCharType="separate"/>
    </w:r>
    <w:r>
      <w:rPr>
        <w:noProof/>
      </w:rPr>
      <w:t>1</w:t>
    </w:r>
    <w:r>
      <w:fldChar w:fldCharType="end"/>
    </w:r>
  </w:p>
  <w:p w:rsidR="00290FCD" w:rsidRDefault="00290FCD"/>
  <w:p w:rsidR="00290FCD" w:rsidRDefault="00290FCD"/>
  <w:p w:rsidR="00290FCD" w:rsidRDefault="00290FC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FCD" w:rsidRDefault="00290FCD">
    <w:pPr>
      <w:framePr w:wrap="around" w:vAnchor="text" w:hAnchor="margin" w:xAlign="center" w:y="1"/>
      <w:rPr>
        <w:sz w:val="20"/>
      </w:rPr>
    </w:pPr>
    <w:r>
      <w:rPr>
        <w:sz w:val="20"/>
      </w:rPr>
      <w:fldChar w:fldCharType="begin"/>
    </w:r>
    <w:r>
      <w:rPr>
        <w:sz w:val="20"/>
      </w:rPr>
      <w:instrText xml:space="preserve">PAGE  </w:instrText>
    </w:r>
    <w:r>
      <w:rPr>
        <w:sz w:val="20"/>
      </w:rPr>
      <w:fldChar w:fldCharType="separate"/>
    </w:r>
    <w:r w:rsidR="00932466">
      <w:rPr>
        <w:noProof/>
        <w:sz w:val="20"/>
      </w:rPr>
      <w:t>1</w:t>
    </w:r>
    <w:r>
      <w:rPr>
        <w:sz w:val="20"/>
      </w:rPr>
      <w:fldChar w:fldCharType="end"/>
    </w:r>
  </w:p>
  <w:p w:rsidR="00290FCD" w:rsidRDefault="00290FCD" w:rsidP="00C56F1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497" w:rsidRDefault="00E95497">
      <w:r>
        <w:separator/>
      </w:r>
    </w:p>
    <w:p w:rsidR="00E95497" w:rsidRDefault="00E95497"/>
  </w:footnote>
  <w:footnote w:type="continuationSeparator" w:id="0">
    <w:p w:rsidR="00E95497" w:rsidRDefault="00E95497">
      <w:r>
        <w:continuationSeparator/>
      </w:r>
    </w:p>
    <w:p w:rsidR="00E95497" w:rsidRDefault="00E95497"/>
  </w:footnote>
  <w:footnote w:id="1">
    <w:p w:rsidR="00290FCD" w:rsidRDefault="00290FCD" w:rsidP="00651B18">
      <w:pPr>
        <w:pStyle w:val="FootnoteText"/>
      </w:pPr>
      <w:r>
        <w:rPr>
          <w:rStyle w:val="FootnoteReference"/>
        </w:rPr>
        <w:footnoteRef/>
      </w:r>
      <w:r>
        <w:t xml:space="preserve"> Bkz. 2006/10371 sayılı Bakanlar Kurulu Kararı.</w:t>
      </w:r>
    </w:p>
  </w:footnote>
  <w:footnote w:id="2">
    <w:p w:rsidR="00290FCD" w:rsidRDefault="00290FCD" w:rsidP="00651B18">
      <w:pPr>
        <w:pStyle w:val="FootnoteText"/>
      </w:pPr>
      <w:r>
        <w:rPr>
          <w:rStyle w:val="FootnoteReference"/>
        </w:rPr>
        <w:footnoteRef/>
      </w:r>
      <w:r>
        <w:t xml:space="preserve"> Bu bölümde yer verilen bilgiler 09.11.2007 tarihi itibariyle yürürlükteki vergi düzenlemeleri dikkate alınarak düzenlenmiştir. Buna ilaveten bu bölümde yer verilen tevkifat oranları Bakanlar Kurulu Kararı ile belirlenmiş olup, yeni bir Bakanlar Kurulu Kararı ile değiştirilebilmektedir. Bu bölümde yer alan tevkifat oranları ile vergi düzenlemelerine ilişkin güncel bilgilere Gelir İdaresi Başkanlığı’nın </w:t>
      </w:r>
      <w:hyperlink r:id="rId1" w:history="1">
        <w:r w:rsidRPr="000832E3">
          <w:rPr>
            <w:rStyle w:val="Hyperlink"/>
          </w:rPr>
          <w:t>www.gib.gov.tr</w:t>
        </w:r>
      </w:hyperlink>
      <w:r>
        <w:t xml:space="preserve"> adresindeki internet sitesinden ulaşılabilmektedir.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1DA"/>
    <w:multiLevelType w:val="hybridMultilevel"/>
    <w:tmpl w:val="92AA081C"/>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07DB1F32"/>
    <w:multiLevelType w:val="hybridMultilevel"/>
    <w:tmpl w:val="BAB0993C"/>
    <w:lvl w:ilvl="0" w:tplc="0409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094C624D"/>
    <w:multiLevelType w:val="hybridMultilevel"/>
    <w:tmpl w:val="ECB2F83E"/>
    <w:lvl w:ilvl="0" w:tplc="493E3300">
      <w:start w:val="1"/>
      <w:numFmt w:val="lowerLetter"/>
      <w:lvlText w:val="%1)"/>
      <w:lvlJc w:val="left"/>
      <w:pPr>
        <w:tabs>
          <w:tab w:val="num" w:pos="1440"/>
        </w:tabs>
        <w:ind w:left="144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0DF36483"/>
    <w:multiLevelType w:val="hybridMultilevel"/>
    <w:tmpl w:val="11206E62"/>
    <w:lvl w:ilvl="0" w:tplc="0D164228">
      <w:start w:val="1"/>
      <w:numFmt w:val="low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27F93054"/>
    <w:multiLevelType w:val="hybridMultilevel"/>
    <w:tmpl w:val="5832EF82"/>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29B549B0"/>
    <w:multiLevelType w:val="hybridMultilevel"/>
    <w:tmpl w:val="BF2EF6C8"/>
    <w:lvl w:ilvl="0" w:tplc="90D48500">
      <w:start w:val="7"/>
      <w:numFmt w:val="bullet"/>
      <w:lvlText w:val="-"/>
      <w:lvlJc w:val="left"/>
      <w:pPr>
        <w:tabs>
          <w:tab w:val="num" w:pos="720"/>
        </w:tabs>
        <w:ind w:left="720" w:hanging="36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nsid w:val="39327FBA"/>
    <w:multiLevelType w:val="hybridMultilevel"/>
    <w:tmpl w:val="C0E8155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
    <w:nsid w:val="3B5F5F70"/>
    <w:multiLevelType w:val="hybridMultilevel"/>
    <w:tmpl w:val="2FFC2A14"/>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3BEB5458"/>
    <w:multiLevelType w:val="hybridMultilevel"/>
    <w:tmpl w:val="C128CE8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nsid w:val="451200C7"/>
    <w:multiLevelType w:val="hybridMultilevel"/>
    <w:tmpl w:val="65BC4B78"/>
    <w:lvl w:ilvl="0" w:tplc="EB3CFDB4">
      <w:start w:val="9"/>
      <w:numFmt w:val="bullet"/>
      <w:lvlText w:val="-"/>
      <w:lvlJc w:val="left"/>
      <w:pPr>
        <w:tabs>
          <w:tab w:val="num" w:pos="720"/>
        </w:tabs>
        <w:ind w:left="720" w:hanging="36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50922C9E"/>
    <w:multiLevelType w:val="hybridMultilevel"/>
    <w:tmpl w:val="97B2ED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52387683"/>
    <w:multiLevelType w:val="hybridMultilevel"/>
    <w:tmpl w:val="A97CAE1A"/>
    <w:lvl w:ilvl="0" w:tplc="0409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5305287D"/>
    <w:multiLevelType w:val="hybridMultilevel"/>
    <w:tmpl w:val="2ED4D0A0"/>
    <w:lvl w:ilvl="0" w:tplc="041F000F">
      <w:start w:val="1"/>
      <w:numFmt w:val="decimal"/>
      <w:lvlText w:val="%1."/>
      <w:lvlJc w:val="left"/>
      <w:pPr>
        <w:tabs>
          <w:tab w:val="num" w:pos="720"/>
        </w:tabs>
        <w:ind w:left="720" w:hanging="360"/>
      </w:pPr>
    </w:lvl>
    <w:lvl w:ilvl="1" w:tplc="493E3300">
      <w:start w:val="1"/>
      <w:numFmt w:val="low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5E1F0A99"/>
    <w:multiLevelType w:val="singleLevel"/>
    <w:tmpl w:val="8BD4CFA4"/>
    <w:lvl w:ilvl="0">
      <w:start w:val="10"/>
      <w:numFmt w:val="upperRoman"/>
      <w:lvlText w:val=""/>
      <w:lvlJc w:val="left"/>
      <w:pPr>
        <w:tabs>
          <w:tab w:val="num" w:pos="649"/>
        </w:tabs>
        <w:ind w:left="649" w:hanging="360"/>
      </w:pPr>
      <w:rPr>
        <w:rFonts w:hint="default"/>
        <w:b/>
      </w:rPr>
    </w:lvl>
  </w:abstractNum>
  <w:abstractNum w:abstractNumId="14">
    <w:nsid w:val="62B57893"/>
    <w:multiLevelType w:val="hybridMultilevel"/>
    <w:tmpl w:val="5DA027BC"/>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nsid w:val="64BB1E38"/>
    <w:multiLevelType w:val="hybridMultilevel"/>
    <w:tmpl w:val="D48A2F60"/>
    <w:lvl w:ilvl="0" w:tplc="6C8A86A4">
      <w:start w:val="16"/>
      <w:numFmt w:val="bullet"/>
      <w:lvlText w:val="-"/>
      <w:lvlJc w:val="left"/>
      <w:pPr>
        <w:tabs>
          <w:tab w:val="num" w:pos="1042"/>
        </w:tabs>
        <w:ind w:left="1042" w:hanging="645"/>
      </w:pPr>
      <w:rPr>
        <w:rFonts w:ascii="Times New Roman" w:eastAsia="Times New Roman" w:hAnsi="Times New Roman" w:cs="Times New Roman" w:hint="default"/>
      </w:rPr>
    </w:lvl>
    <w:lvl w:ilvl="1" w:tplc="041F0003" w:tentative="1">
      <w:start w:val="1"/>
      <w:numFmt w:val="bullet"/>
      <w:lvlText w:val="o"/>
      <w:lvlJc w:val="left"/>
      <w:pPr>
        <w:tabs>
          <w:tab w:val="num" w:pos="1477"/>
        </w:tabs>
        <w:ind w:left="1477" w:hanging="360"/>
      </w:pPr>
      <w:rPr>
        <w:rFonts w:ascii="Courier New" w:hAnsi="Courier New" w:cs="Courier New" w:hint="default"/>
      </w:rPr>
    </w:lvl>
    <w:lvl w:ilvl="2" w:tplc="041F0005" w:tentative="1">
      <w:start w:val="1"/>
      <w:numFmt w:val="bullet"/>
      <w:lvlText w:val=""/>
      <w:lvlJc w:val="left"/>
      <w:pPr>
        <w:tabs>
          <w:tab w:val="num" w:pos="2197"/>
        </w:tabs>
        <w:ind w:left="2197" w:hanging="360"/>
      </w:pPr>
      <w:rPr>
        <w:rFonts w:ascii="Wingdings" w:hAnsi="Wingdings" w:hint="default"/>
      </w:rPr>
    </w:lvl>
    <w:lvl w:ilvl="3" w:tplc="041F0001" w:tentative="1">
      <w:start w:val="1"/>
      <w:numFmt w:val="bullet"/>
      <w:lvlText w:val=""/>
      <w:lvlJc w:val="left"/>
      <w:pPr>
        <w:tabs>
          <w:tab w:val="num" w:pos="2917"/>
        </w:tabs>
        <w:ind w:left="2917" w:hanging="360"/>
      </w:pPr>
      <w:rPr>
        <w:rFonts w:ascii="Symbol" w:hAnsi="Symbol" w:hint="default"/>
      </w:rPr>
    </w:lvl>
    <w:lvl w:ilvl="4" w:tplc="041F0003" w:tentative="1">
      <w:start w:val="1"/>
      <w:numFmt w:val="bullet"/>
      <w:lvlText w:val="o"/>
      <w:lvlJc w:val="left"/>
      <w:pPr>
        <w:tabs>
          <w:tab w:val="num" w:pos="3637"/>
        </w:tabs>
        <w:ind w:left="3637" w:hanging="360"/>
      </w:pPr>
      <w:rPr>
        <w:rFonts w:ascii="Courier New" w:hAnsi="Courier New" w:cs="Courier New" w:hint="default"/>
      </w:rPr>
    </w:lvl>
    <w:lvl w:ilvl="5" w:tplc="041F0005" w:tentative="1">
      <w:start w:val="1"/>
      <w:numFmt w:val="bullet"/>
      <w:lvlText w:val=""/>
      <w:lvlJc w:val="left"/>
      <w:pPr>
        <w:tabs>
          <w:tab w:val="num" w:pos="4357"/>
        </w:tabs>
        <w:ind w:left="4357" w:hanging="360"/>
      </w:pPr>
      <w:rPr>
        <w:rFonts w:ascii="Wingdings" w:hAnsi="Wingdings" w:hint="default"/>
      </w:rPr>
    </w:lvl>
    <w:lvl w:ilvl="6" w:tplc="041F0001" w:tentative="1">
      <w:start w:val="1"/>
      <w:numFmt w:val="bullet"/>
      <w:lvlText w:val=""/>
      <w:lvlJc w:val="left"/>
      <w:pPr>
        <w:tabs>
          <w:tab w:val="num" w:pos="5077"/>
        </w:tabs>
        <w:ind w:left="5077" w:hanging="360"/>
      </w:pPr>
      <w:rPr>
        <w:rFonts w:ascii="Symbol" w:hAnsi="Symbol" w:hint="default"/>
      </w:rPr>
    </w:lvl>
    <w:lvl w:ilvl="7" w:tplc="041F0003" w:tentative="1">
      <w:start w:val="1"/>
      <w:numFmt w:val="bullet"/>
      <w:lvlText w:val="o"/>
      <w:lvlJc w:val="left"/>
      <w:pPr>
        <w:tabs>
          <w:tab w:val="num" w:pos="5797"/>
        </w:tabs>
        <w:ind w:left="5797" w:hanging="360"/>
      </w:pPr>
      <w:rPr>
        <w:rFonts w:ascii="Courier New" w:hAnsi="Courier New" w:cs="Courier New" w:hint="default"/>
      </w:rPr>
    </w:lvl>
    <w:lvl w:ilvl="8" w:tplc="041F0005" w:tentative="1">
      <w:start w:val="1"/>
      <w:numFmt w:val="bullet"/>
      <w:lvlText w:val=""/>
      <w:lvlJc w:val="left"/>
      <w:pPr>
        <w:tabs>
          <w:tab w:val="num" w:pos="6517"/>
        </w:tabs>
        <w:ind w:left="6517" w:hanging="360"/>
      </w:pPr>
      <w:rPr>
        <w:rFonts w:ascii="Wingdings" w:hAnsi="Wingdings" w:hint="default"/>
      </w:rPr>
    </w:lvl>
  </w:abstractNum>
  <w:abstractNum w:abstractNumId="16">
    <w:nsid w:val="66DD0957"/>
    <w:multiLevelType w:val="hybridMultilevel"/>
    <w:tmpl w:val="EBF4ADAE"/>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nsid w:val="69164CA9"/>
    <w:multiLevelType w:val="hybridMultilevel"/>
    <w:tmpl w:val="0B864FA2"/>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
    <w:nsid w:val="714D5E9D"/>
    <w:multiLevelType w:val="hybridMultilevel"/>
    <w:tmpl w:val="47D0596E"/>
    <w:lvl w:ilvl="0" w:tplc="58367C8A">
      <w:start w:val="15"/>
      <w:numFmt w:val="bullet"/>
      <w:lvlText w:val="-"/>
      <w:lvlJc w:val="left"/>
      <w:pPr>
        <w:tabs>
          <w:tab w:val="num" w:pos="1800"/>
        </w:tabs>
        <w:ind w:left="1800" w:hanging="360"/>
      </w:pPr>
      <w:rPr>
        <w:rFonts w:ascii="Times New Roman" w:eastAsia="Times New Roman" w:hAnsi="Times New Roman" w:cs="Times New Roman" w:hint="default"/>
      </w:rPr>
    </w:lvl>
    <w:lvl w:ilvl="1" w:tplc="041F0003" w:tentative="1">
      <w:start w:val="1"/>
      <w:numFmt w:val="bullet"/>
      <w:lvlText w:val="o"/>
      <w:lvlJc w:val="left"/>
      <w:pPr>
        <w:tabs>
          <w:tab w:val="num" w:pos="2520"/>
        </w:tabs>
        <w:ind w:left="2520" w:hanging="360"/>
      </w:pPr>
      <w:rPr>
        <w:rFonts w:ascii="Courier New" w:hAnsi="Courier New" w:cs="Courier New" w:hint="default"/>
      </w:rPr>
    </w:lvl>
    <w:lvl w:ilvl="2" w:tplc="041F0005" w:tentative="1">
      <w:start w:val="1"/>
      <w:numFmt w:val="bullet"/>
      <w:lvlText w:val=""/>
      <w:lvlJc w:val="left"/>
      <w:pPr>
        <w:tabs>
          <w:tab w:val="num" w:pos="3240"/>
        </w:tabs>
        <w:ind w:left="3240" w:hanging="360"/>
      </w:pPr>
      <w:rPr>
        <w:rFonts w:ascii="Wingdings" w:hAnsi="Wingdings" w:hint="default"/>
      </w:rPr>
    </w:lvl>
    <w:lvl w:ilvl="3" w:tplc="041F0001" w:tentative="1">
      <w:start w:val="1"/>
      <w:numFmt w:val="bullet"/>
      <w:lvlText w:val=""/>
      <w:lvlJc w:val="left"/>
      <w:pPr>
        <w:tabs>
          <w:tab w:val="num" w:pos="3960"/>
        </w:tabs>
        <w:ind w:left="3960" w:hanging="360"/>
      </w:pPr>
      <w:rPr>
        <w:rFonts w:ascii="Symbol" w:hAnsi="Symbol" w:hint="default"/>
      </w:rPr>
    </w:lvl>
    <w:lvl w:ilvl="4" w:tplc="041F0003" w:tentative="1">
      <w:start w:val="1"/>
      <w:numFmt w:val="bullet"/>
      <w:lvlText w:val="o"/>
      <w:lvlJc w:val="left"/>
      <w:pPr>
        <w:tabs>
          <w:tab w:val="num" w:pos="4680"/>
        </w:tabs>
        <w:ind w:left="4680" w:hanging="360"/>
      </w:pPr>
      <w:rPr>
        <w:rFonts w:ascii="Courier New" w:hAnsi="Courier New" w:cs="Courier New" w:hint="default"/>
      </w:rPr>
    </w:lvl>
    <w:lvl w:ilvl="5" w:tplc="041F0005" w:tentative="1">
      <w:start w:val="1"/>
      <w:numFmt w:val="bullet"/>
      <w:lvlText w:val=""/>
      <w:lvlJc w:val="left"/>
      <w:pPr>
        <w:tabs>
          <w:tab w:val="num" w:pos="5400"/>
        </w:tabs>
        <w:ind w:left="5400" w:hanging="360"/>
      </w:pPr>
      <w:rPr>
        <w:rFonts w:ascii="Wingdings" w:hAnsi="Wingdings" w:hint="default"/>
      </w:rPr>
    </w:lvl>
    <w:lvl w:ilvl="6" w:tplc="041F0001" w:tentative="1">
      <w:start w:val="1"/>
      <w:numFmt w:val="bullet"/>
      <w:lvlText w:val=""/>
      <w:lvlJc w:val="left"/>
      <w:pPr>
        <w:tabs>
          <w:tab w:val="num" w:pos="6120"/>
        </w:tabs>
        <w:ind w:left="6120" w:hanging="360"/>
      </w:pPr>
      <w:rPr>
        <w:rFonts w:ascii="Symbol" w:hAnsi="Symbol" w:hint="default"/>
      </w:rPr>
    </w:lvl>
    <w:lvl w:ilvl="7" w:tplc="041F0003" w:tentative="1">
      <w:start w:val="1"/>
      <w:numFmt w:val="bullet"/>
      <w:lvlText w:val="o"/>
      <w:lvlJc w:val="left"/>
      <w:pPr>
        <w:tabs>
          <w:tab w:val="num" w:pos="6840"/>
        </w:tabs>
        <w:ind w:left="6840" w:hanging="360"/>
      </w:pPr>
      <w:rPr>
        <w:rFonts w:ascii="Courier New" w:hAnsi="Courier New" w:cs="Courier New" w:hint="default"/>
      </w:rPr>
    </w:lvl>
    <w:lvl w:ilvl="8" w:tplc="041F0005" w:tentative="1">
      <w:start w:val="1"/>
      <w:numFmt w:val="bullet"/>
      <w:lvlText w:val=""/>
      <w:lvlJc w:val="left"/>
      <w:pPr>
        <w:tabs>
          <w:tab w:val="num" w:pos="7560"/>
        </w:tabs>
        <w:ind w:left="7560" w:hanging="360"/>
      </w:pPr>
      <w:rPr>
        <w:rFonts w:ascii="Wingdings" w:hAnsi="Wingdings" w:hint="default"/>
      </w:rPr>
    </w:lvl>
  </w:abstractNum>
  <w:abstractNum w:abstractNumId="19">
    <w:nsid w:val="72BB50CC"/>
    <w:multiLevelType w:val="hybridMultilevel"/>
    <w:tmpl w:val="E25A30A2"/>
    <w:lvl w:ilvl="0" w:tplc="04090015">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nsid w:val="7392777C"/>
    <w:multiLevelType w:val="hybridMultilevel"/>
    <w:tmpl w:val="810ABCC6"/>
    <w:lvl w:ilvl="0" w:tplc="3CAE5E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77336CE"/>
    <w:multiLevelType w:val="hybridMultilevel"/>
    <w:tmpl w:val="55AC0318"/>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nsid w:val="7E803C70"/>
    <w:multiLevelType w:val="hybridMultilevel"/>
    <w:tmpl w:val="1ACC5B98"/>
    <w:lvl w:ilvl="0" w:tplc="041F000F">
      <w:start w:val="1"/>
      <w:numFmt w:val="decimal"/>
      <w:lvlText w:val="%1."/>
      <w:lvlJc w:val="left"/>
      <w:pPr>
        <w:tabs>
          <w:tab w:val="num" w:pos="720"/>
        </w:tabs>
        <w:ind w:left="720" w:hanging="360"/>
      </w:pPr>
    </w:lvl>
    <w:lvl w:ilvl="1" w:tplc="571A0D0C">
      <w:start w:val="1"/>
      <w:numFmt w:val="upp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3">
    <w:nsid w:val="7F844647"/>
    <w:multiLevelType w:val="hybridMultilevel"/>
    <w:tmpl w:val="C2561838"/>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13"/>
  </w:num>
  <w:num w:numId="2">
    <w:abstractNumId w:val="14"/>
  </w:num>
  <w:num w:numId="3">
    <w:abstractNumId w:val="17"/>
  </w:num>
  <w:num w:numId="4">
    <w:abstractNumId w:val="21"/>
  </w:num>
  <w:num w:numId="5">
    <w:abstractNumId w:val="0"/>
  </w:num>
  <w:num w:numId="6">
    <w:abstractNumId w:val="12"/>
  </w:num>
  <w:num w:numId="7">
    <w:abstractNumId w:val="8"/>
  </w:num>
  <w:num w:numId="8">
    <w:abstractNumId w:val="10"/>
  </w:num>
  <w:num w:numId="9">
    <w:abstractNumId w:val="22"/>
  </w:num>
  <w:num w:numId="10">
    <w:abstractNumId w:val="4"/>
  </w:num>
  <w:num w:numId="11">
    <w:abstractNumId w:val="23"/>
  </w:num>
  <w:num w:numId="12">
    <w:abstractNumId w:val="6"/>
  </w:num>
  <w:num w:numId="13">
    <w:abstractNumId w:val="7"/>
  </w:num>
  <w:num w:numId="14">
    <w:abstractNumId w:val="16"/>
  </w:num>
  <w:num w:numId="15">
    <w:abstractNumId w:val="2"/>
  </w:num>
  <w:num w:numId="16">
    <w:abstractNumId w:val="20"/>
  </w:num>
  <w:num w:numId="17">
    <w:abstractNumId w:val="19"/>
  </w:num>
  <w:num w:numId="18">
    <w:abstractNumId w:val="18"/>
  </w:num>
  <w:num w:numId="19">
    <w:abstractNumId w:val="1"/>
  </w:num>
  <w:num w:numId="20">
    <w:abstractNumId w:val="3"/>
  </w:num>
  <w:num w:numId="21">
    <w:abstractNumId w:val="9"/>
  </w:num>
  <w:num w:numId="22">
    <w:abstractNumId w:val="5"/>
  </w:num>
  <w:num w:numId="23">
    <w:abstractNumId w:val="1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C31"/>
    <w:rsid w:val="00006DFB"/>
    <w:rsid w:val="00007626"/>
    <w:rsid w:val="00011597"/>
    <w:rsid w:val="00011CE7"/>
    <w:rsid w:val="00017D40"/>
    <w:rsid w:val="00027A3A"/>
    <w:rsid w:val="000314B5"/>
    <w:rsid w:val="00033782"/>
    <w:rsid w:val="00037603"/>
    <w:rsid w:val="00046243"/>
    <w:rsid w:val="0005146D"/>
    <w:rsid w:val="0005193E"/>
    <w:rsid w:val="00052D4E"/>
    <w:rsid w:val="000579B0"/>
    <w:rsid w:val="00062B81"/>
    <w:rsid w:val="00070589"/>
    <w:rsid w:val="00081668"/>
    <w:rsid w:val="0008448F"/>
    <w:rsid w:val="000A21A6"/>
    <w:rsid w:val="000B0E69"/>
    <w:rsid w:val="000B181C"/>
    <w:rsid w:val="000B1EA0"/>
    <w:rsid w:val="000B2A8F"/>
    <w:rsid w:val="000B31A2"/>
    <w:rsid w:val="000B3F08"/>
    <w:rsid w:val="000C471F"/>
    <w:rsid w:val="000C68F2"/>
    <w:rsid w:val="000C7977"/>
    <w:rsid w:val="000D5B6E"/>
    <w:rsid w:val="000D5FD5"/>
    <w:rsid w:val="000D7C9A"/>
    <w:rsid w:val="000E0C35"/>
    <w:rsid w:val="000E0EE7"/>
    <w:rsid w:val="000E4739"/>
    <w:rsid w:val="000E4A08"/>
    <w:rsid w:val="000E765A"/>
    <w:rsid w:val="000F21FA"/>
    <w:rsid w:val="000F3731"/>
    <w:rsid w:val="000F536C"/>
    <w:rsid w:val="0011031C"/>
    <w:rsid w:val="001176DE"/>
    <w:rsid w:val="001226F8"/>
    <w:rsid w:val="00126C09"/>
    <w:rsid w:val="00133F40"/>
    <w:rsid w:val="00143CBA"/>
    <w:rsid w:val="001463B6"/>
    <w:rsid w:val="0016457A"/>
    <w:rsid w:val="001646FF"/>
    <w:rsid w:val="00171919"/>
    <w:rsid w:val="0017308D"/>
    <w:rsid w:val="001840D7"/>
    <w:rsid w:val="00184BB7"/>
    <w:rsid w:val="001856CB"/>
    <w:rsid w:val="001874EE"/>
    <w:rsid w:val="001942F4"/>
    <w:rsid w:val="001A1F66"/>
    <w:rsid w:val="001B7A45"/>
    <w:rsid w:val="001C44E2"/>
    <w:rsid w:val="001E052F"/>
    <w:rsid w:val="001E59F8"/>
    <w:rsid w:val="001E7408"/>
    <w:rsid w:val="001E7DE2"/>
    <w:rsid w:val="00201E3B"/>
    <w:rsid w:val="00217643"/>
    <w:rsid w:val="00227E5C"/>
    <w:rsid w:val="00231037"/>
    <w:rsid w:val="0023566E"/>
    <w:rsid w:val="00235DDA"/>
    <w:rsid w:val="00244C56"/>
    <w:rsid w:val="00246C20"/>
    <w:rsid w:val="0025588D"/>
    <w:rsid w:val="00261101"/>
    <w:rsid w:val="00262459"/>
    <w:rsid w:val="00271A96"/>
    <w:rsid w:val="00271EE5"/>
    <w:rsid w:val="00273681"/>
    <w:rsid w:val="00290FCD"/>
    <w:rsid w:val="002961AA"/>
    <w:rsid w:val="002B4AAC"/>
    <w:rsid w:val="002C754F"/>
    <w:rsid w:val="002C7B77"/>
    <w:rsid w:val="002D19C5"/>
    <w:rsid w:val="002D5802"/>
    <w:rsid w:val="002D61F8"/>
    <w:rsid w:val="002D7258"/>
    <w:rsid w:val="002E0CB6"/>
    <w:rsid w:val="002F34DF"/>
    <w:rsid w:val="00306989"/>
    <w:rsid w:val="003103ED"/>
    <w:rsid w:val="00320530"/>
    <w:rsid w:val="003217A4"/>
    <w:rsid w:val="00321B27"/>
    <w:rsid w:val="0032318B"/>
    <w:rsid w:val="00323558"/>
    <w:rsid w:val="00326B88"/>
    <w:rsid w:val="0033420F"/>
    <w:rsid w:val="003520ED"/>
    <w:rsid w:val="0035288D"/>
    <w:rsid w:val="0035593D"/>
    <w:rsid w:val="00360B47"/>
    <w:rsid w:val="00364793"/>
    <w:rsid w:val="00381080"/>
    <w:rsid w:val="00387FB6"/>
    <w:rsid w:val="00391D27"/>
    <w:rsid w:val="003B2DD6"/>
    <w:rsid w:val="003B4212"/>
    <w:rsid w:val="003B6C88"/>
    <w:rsid w:val="003C513F"/>
    <w:rsid w:val="003E65B6"/>
    <w:rsid w:val="003F1C46"/>
    <w:rsid w:val="003F463A"/>
    <w:rsid w:val="0041353F"/>
    <w:rsid w:val="00417BE3"/>
    <w:rsid w:val="00433D76"/>
    <w:rsid w:val="004358D5"/>
    <w:rsid w:val="004434ED"/>
    <w:rsid w:val="004528F4"/>
    <w:rsid w:val="00452D62"/>
    <w:rsid w:val="00485871"/>
    <w:rsid w:val="00486949"/>
    <w:rsid w:val="00492721"/>
    <w:rsid w:val="004B6093"/>
    <w:rsid w:val="004B6817"/>
    <w:rsid w:val="004C5AF5"/>
    <w:rsid w:val="004D0AD3"/>
    <w:rsid w:val="004D3766"/>
    <w:rsid w:val="004D7961"/>
    <w:rsid w:val="004E43CA"/>
    <w:rsid w:val="004F0E60"/>
    <w:rsid w:val="00503DEA"/>
    <w:rsid w:val="00504580"/>
    <w:rsid w:val="005218F8"/>
    <w:rsid w:val="00522E8D"/>
    <w:rsid w:val="00526D4A"/>
    <w:rsid w:val="005467DA"/>
    <w:rsid w:val="00553C0D"/>
    <w:rsid w:val="005614BC"/>
    <w:rsid w:val="00561B30"/>
    <w:rsid w:val="00584F58"/>
    <w:rsid w:val="00591AA6"/>
    <w:rsid w:val="005A0894"/>
    <w:rsid w:val="005A29E0"/>
    <w:rsid w:val="005A406F"/>
    <w:rsid w:val="005B556D"/>
    <w:rsid w:val="005C479C"/>
    <w:rsid w:val="005D0033"/>
    <w:rsid w:val="005D5660"/>
    <w:rsid w:val="005E737B"/>
    <w:rsid w:val="005F2363"/>
    <w:rsid w:val="00602C38"/>
    <w:rsid w:val="00603EED"/>
    <w:rsid w:val="00633949"/>
    <w:rsid w:val="00637FE3"/>
    <w:rsid w:val="00641004"/>
    <w:rsid w:val="0065142C"/>
    <w:rsid w:val="00651B18"/>
    <w:rsid w:val="006523AB"/>
    <w:rsid w:val="006529ED"/>
    <w:rsid w:val="00660F69"/>
    <w:rsid w:val="006641F1"/>
    <w:rsid w:val="00667D7C"/>
    <w:rsid w:val="00680D46"/>
    <w:rsid w:val="00682881"/>
    <w:rsid w:val="0069149D"/>
    <w:rsid w:val="00693105"/>
    <w:rsid w:val="006A12E5"/>
    <w:rsid w:val="006A4910"/>
    <w:rsid w:val="006B156B"/>
    <w:rsid w:val="006C35B7"/>
    <w:rsid w:val="006C4AD5"/>
    <w:rsid w:val="006F15C3"/>
    <w:rsid w:val="006F297E"/>
    <w:rsid w:val="006F2E0A"/>
    <w:rsid w:val="006F4A56"/>
    <w:rsid w:val="006F5101"/>
    <w:rsid w:val="006F77AB"/>
    <w:rsid w:val="00701122"/>
    <w:rsid w:val="0070375A"/>
    <w:rsid w:val="0071329A"/>
    <w:rsid w:val="00723C31"/>
    <w:rsid w:val="00725E3E"/>
    <w:rsid w:val="00730928"/>
    <w:rsid w:val="00732187"/>
    <w:rsid w:val="00740EBB"/>
    <w:rsid w:val="00745C1A"/>
    <w:rsid w:val="00755E08"/>
    <w:rsid w:val="00760F06"/>
    <w:rsid w:val="007633E7"/>
    <w:rsid w:val="00764B70"/>
    <w:rsid w:val="007664FA"/>
    <w:rsid w:val="00777446"/>
    <w:rsid w:val="00784B19"/>
    <w:rsid w:val="00790468"/>
    <w:rsid w:val="00794468"/>
    <w:rsid w:val="00795AA7"/>
    <w:rsid w:val="007C334D"/>
    <w:rsid w:val="007C56EE"/>
    <w:rsid w:val="007E0FC7"/>
    <w:rsid w:val="00803DD6"/>
    <w:rsid w:val="00810421"/>
    <w:rsid w:val="00821AB6"/>
    <w:rsid w:val="008220E6"/>
    <w:rsid w:val="00822251"/>
    <w:rsid w:val="00822389"/>
    <w:rsid w:val="00826EDC"/>
    <w:rsid w:val="0083183B"/>
    <w:rsid w:val="00832165"/>
    <w:rsid w:val="00832999"/>
    <w:rsid w:val="00833CA2"/>
    <w:rsid w:val="008374B1"/>
    <w:rsid w:val="0084185E"/>
    <w:rsid w:val="00846EA0"/>
    <w:rsid w:val="008601BF"/>
    <w:rsid w:val="00864C8C"/>
    <w:rsid w:val="00865538"/>
    <w:rsid w:val="00866604"/>
    <w:rsid w:val="00866BBD"/>
    <w:rsid w:val="00881FDF"/>
    <w:rsid w:val="00884D4E"/>
    <w:rsid w:val="008976D3"/>
    <w:rsid w:val="008A0BCC"/>
    <w:rsid w:val="008B3B60"/>
    <w:rsid w:val="008C1A5D"/>
    <w:rsid w:val="008C7A33"/>
    <w:rsid w:val="008D166C"/>
    <w:rsid w:val="008D304F"/>
    <w:rsid w:val="008E0BDB"/>
    <w:rsid w:val="008E0EEF"/>
    <w:rsid w:val="008F0F7F"/>
    <w:rsid w:val="0090097D"/>
    <w:rsid w:val="0092473E"/>
    <w:rsid w:val="00932466"/>
    <w:rsid w:val="00933D95"/>
    <w:rsid w:val="00941BF2"/>
    <w:rsid w:val="00954A63"/>
    <w:rsid w:val="00954D90"/>
    <w:rsid w:val="0096463D"/>
    <w:rsid w:val="0096642E"/>
    <w:rsid w:val="00966C02"/>
    <w:rsid w:val="0097703C"/>
    <w:rsid w:val="0098084C"/>
    <w:rsid w:val="00981B28"/>
    <w:rsid w:val="00987DBD"/>
    <w:rsid w:val="009903AA"/>
    <w:rsid w:val="00995BB6"/>
    <w:rsid w:val="009A04B4"/>
    <w:rsid w:val="009A283E"/>
    <w:rsid w:val="009A5955"/>
    <w:rsid w:val="009C122F"/>
    <w:rsid w:val="009D5678"/>
    <w:rsid w:val="009F653C"/>
    <w:rsid w:val="00A116D8"/>
    <w:rsid w:val="00A16F3D"/>
    <w:rsid w:val="00A23AF5"/>
    <w:rsid w:val="00A300BF"/>
    <w:rsid w:val="00A30666"/>
    <w:rsid w:val="00A334BA"/>
    <w:rsid w:val="00A36808"/>
    <w:rsid w:val="00A379BB"/>
    <w:rsid w:val="00A41D6B"/>
    <w:rsid w:val="00A449C5"/>
    <w:rsid w:val="00A641C0"/>
    <w:rsid w:val="00A83D87"/>
    <w:rsid w:val="00A921BC"/>
    <w:rsid w:val="00AA5988"/>
    <w:rsid w:val="00AA7576"/>
    <w:rsid w:val="00AB0AA2"/>
    <w:rsid w:val="00AB3E10"/>
    <w:rsid w:val="00AC104E"/>
    <w:rsid w:val="00AC6030"/>
    <w:rsid w:val="00AF140E"/>
    <w:rsid w:val="00B02B93"/>
    <w:rsid w:val="00B06E2A"/>
    <w:rsid w:val="00B225C2"/>
    <w:rsid w:val="00B33D9D"/>
    <w:rsid w:val="00B37591"/>
    <w:rsid w:val="00B41C97"/>
    <w:rsid w:val="00B4356D"/>
    <w:rsid w:val="00B46526"/>
    <w:rsid w:val="00B54B7D"/>
    <w:rsid w:val="00B608F5"/>
    <w:rsid w:val="00B61955"/>
    <w:rsid w:val="00B92CAE"/>
    <w:rsid w:val="00BA45D2"/>
    <w:rsid w:val="00BA4A03"/>
    <w:rsid w:val="00BA68BF"/>
    <w:rsid w:val="00BB549F"/>
    <w:rsid w:val="00BB6D6E"/>
    <w:rsid w:val="00BC05BC"/>
    <w:rsid w:val="00BC63ED"/>
    <w:rsid w:val="00BC7023"/>
    <w:rsid w:val="00BD11F2"/>
    <w:rsid w:val="00BD1853"/>
    <w:rsid w:val="00BD5924"/>
    <w:rsid w:val="00BE7917"/>
    <w:rsid w:val="00BF1120"/>
    <w:rsid w:val="00BF5FB5"/>
    <w:rsid w:val="00C01354"/>
    <w:rsid w:val="00C03028"/>
    <w:rsid w:val="00C23ECE"/>
    <w:rsid w:val="00C24FD8"/>
    <w:rsid w:val="00C33B06"/>
    <w:rsid w:val="00C41C61"/>
    <w:rsid w:val="00C4231D"/>
    <w:rsid w:val="00C43D02"/>
    <w:rsid w:val="00C45929"/>
    <w:rsid w:val="00C45E7E"/>
    <w:rsid w:val="00C511EB"/>
    <w:rsid w:val="00C51824"/>
    <w:rsid w:val="00C56F12"/>
    <w:rsid w:val="00C659C2"/>
    <w:rsid w:val="00C66C73"/>
    <w:rsid w:val="00C711E5"/>
    <w:rsid w:val="00C81898"/>
    <w:rsid w:val="00C9122A"/>
    <w:rsid w:val="00C936D3"/>
    <w:rsid w:val="00C956E8"/>
    <w:rsid w:val="00C95987"/>
    <w:rsid w:val="00CB0B6C"/>
    <w:rsid w:val="00CB2844"/>
    <w:rsid w:val="00CC1C20"/>
    <w:rsid w:val="00CC6C0D"/>
    <w:rsid w:val="00CC7B64"/>
    <w:rsid w:val="00CD15FD"/>
    <w:rsid w:val="00CD6CB0"/>
    <w:rsid w:val="00CD6DD7"/>
    <w:rsid w:val="00CE03E3"/>
    <w:rsid w:val="00CF18EE"/>
    <w:rsid w:val="00CF1938"/>
    <w:rsid w:val="00CF239A"/>
    <w:rsid w:val="00CF691D"/>
    <w:rsid w:val="00D0269E"/>
    <w:rsid w:val="00D02943"/>
    <w:rsid w:val="00D04A20"/>
    <w:rsid w:val="00D06D57"/>
    <w:rsid w:val="00D107D5"/>
    <w:rsid w:val="00D10DD2"/>
    <w:rsid w:val="00D136FB"/>
    <w:rsid w:val="00D14B1A"/>
    <w:rsid w:val="00D166F6"/>
    <w:rsid w:val="00D16B3D"/>
    <w:rsid w:val="00D21C9C"/>
    <w:rsid w:val="00D249D1"/>
    <w:rsid w:val="00D24FD2"/>
    <w:rsid w:val="00D31688"/>
    <w:rsid w:val="00D405B6"/>
    <w:rsid w:val="00D410B4"/>
    <w:rsid w:val="00D5298A"/>
    <w:rsid w:val="00D536EE"/>
    <w:rsid w:val="00D61B5F"/>
    <w:rsid w:val="00D638E9"/>
    <w:rsid w:val="00D83417"/>
    <w:rsid w:val="00D83798"/>
    <w:rsid w:val="00DA3EA0"/>
    <w:rsid w:val="00DA4304"/>
    <w:rsid w:val="00DB7795"/>
    <w:rsid w:val="00DC1087"/>
    <w:rsid w:val="00DD1F5F"/>
    <w:rsid w:val="00DE7AD1"/>
    <w:rsid w:val="00DE7D9B"/>
    <w:rsid w:val="00DF28FF"/>
    <w:rsid w:val="00DF67CF"/>
    <w:rsid w:val="00E017AC"/>
    <w:rsid w:val="00E020CC"/>
    <w:rsid w:val="00E0580C"/>
    <w:rsid w:val="00E1678C"/>
    <w:rsid w:val="00E21499"/>
    <w:rsid w:val="00E26072"/>
    <w:rsid w:val="00E32C10"/>
    <w:rsid w:val="00E32E85"/>
    <w:rsid w:val="00E35DD5"/>
    <w:rsid w:val="00E37077"/>
    <w:rsid w:val="00E46B0A"/>
    <w:rsid w:val="00E476E6"/>
    <w:rsid w:val="00E53C2C"/>
    <w:rsid w:val="00E53C83"/>
    <w:rsid w:val="00E57450"/>
    <w:rsid w:val="00E6165F"/>
    <w:rsid w:val="00E62457"/>
    <w:rsid w:val="00E653F0"/>
    <w:rsid w:val="00E67115"/>
    <w:rsid w:val="00E72C12"/>
    <w:rsid w:val="00E732FF"/>
    <w:rsid w:val="00E77BCF"/>
    <w:rsid w:val="00E80AF9"/>
    <w:rsid w:val="00E95497"/>
    <w:rsid w:val="00EB1366"/>
    <w:rsid w:val="00EC7108"/>
    <w:rsid w:val="00ED39F1"/>
    <w:rsid w:val="00EE48FA"/>
    <w:rsid w:val="00EF2E3B"/>
    <w:rsid w:val="00EF78D3"/>
    <w:rsid w:val="00F13990"/>
    <w:rsid w:val="00F13C67"/>
    <w:rsid w:val="00F13F6D"/>
    <w:rsid w:val="00F173C5"/>
    <w:rsid w:val="00F20762"/>
    <w:rsid w:val="00F22A3B"/>
    <w:rsid w:val="00F244BD"/>
    <w:rsid w:val="00F2553B"/>
    <w:rsid w:val="00F372BB"/>
    <w:rsid w:val="00F4156C"/>
    <w:rsid w:val="00F433EF"/>
    <w:rsid w:val="00F43D82"/>
    <w:rsid w:val="00F5016E"/>
    <w:rsid w:val="00F56122"/>
    <w:rsid w:val="00F70300"/>
    <w:rsid w:val="00F74AF9"/>
    <w:rsid w:val="00F76D04"/>
    <w:rsid w:val="00F77AAA"/>
    <w:rsid w:val="00F8337D"/>
    <w:rsid w:val="00F85ED5"/>
    <w:rsid w:val="00F9115F"/>
    <w:rsid w:val="00F912ED"/>
    <w:rsid w:val="00FA33E9"/>
    <w:rsid w:val="00FB28C4"/>
    <w:rsid w:val="00FE2941"/>
    <w:rsid w:val="00FE73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0F7F"/>
    <w:pPr>
      <w:jc w:val="both"/>
    </w:pPr>
    <w:rPr>
      <w:sz w:val="24"/>
      <w:szCs w:val="24"/>
    </w:rPr>
  </w:style>
  <w:style w:type="paragraph" w:styleId="Heading1">
    <w:name w:val="heading 1"/>
    <w:basedOn w:val="Normal"/>
    <w:next w:val="Normal"/>
    <w:qFormat/>
    <w:rsid w:val="00BD5924"/>
    <w:pPr>
      <w:keepNext/>
      <w:outlineLvl w:val="0"/>
    </w:pPr>
    <w:rPr>
      <w:rFonts w:cs="Arial"/>
      <w:b/>
      <w:bCs/>
      <w:sz w:val="32"/>
      <w:szCs w:val="32"/>
    </w:rPr>
  </w:style>
  <w:style w:type="paragraph" w:styleId="Heading2">
    <w:name w:val="heading 2"/>
    <w:basedOn w:val="Normal"/>
    <w:next w:val="Normal"/>
    <w:qFormat/>
    <w:rsid w:val="00BD5924"/>
    <w:pPr>
      <w:keepNext/>
      <w:outlineLvl w:val="1"/>
    </w:pPr>
    <w:rPr>
      <w:rFonts w:cs="Arial"/>
      <w:b/>
      <w:bCs/>
      <w:iCs/>
      <w:sz w:val="28"/>
      <w:szCs w:val="28"/>
    </w:rPr>
  </w:style>
  <w:style w:type="paragraph" w:styleId="Heading3">
    <w:name w:val="heading 3"/>
    <w:basedOn w:val="Normal"/>
    <w:next w:val="Normal"/>
    <w:qFormat/>
    <w:rsid w:val="00BD5924"/>
    <w:pPr>
      <w:keepNext/>
      <w:outlineLvl w:val="2"/>
    </w:pPr>
    <w:rPr>
      <w:rFonts w:cs="Arial"/>
      <w:b/>
      <w:bCs/>
      <w:sz w:val="26"/>
      <w:szCs w:val="26"/>
    </w:rPr>
  </w:style>
  <w:style w:type="paragraph" w:styleId="Heading4">
    <w:name w:val="heading 4"/>
    <w:basedOn w:val="Normal"/>
    <w:next w:val="Normal"/>
    <w:qFormat/>
    <w:rsid w:val="006523AB"/>
    <w:pPr>
      <w:keepNext/>
      <w:outlineLvl w:val="3"/>
    </w:pPr>
    <w:rPr>
      <w:b/>
    </w:rPr>
  </w:style>
  <w:style w:type="paragraph" w:styleId="Heading5">
    <w:name w:val="heading 5"/>
    <w:basedOn w:val="Normal"/>
    <w:next w:val="Normal"/>
    <w:qFormat/>
    <w:rsid w:val="006523AB"/>
    <w:pPr>
      <w:keepNext/>
      <w:outlineLvl w:val="4"/>
    </w:pPr>
  </w:style>
  <w:style w:type="paragraph" w:styleId="Heading7">
    <w:name w:val="heading 7"/>
    <w:basedOn w:val="Normal"/>
    <w:next w:val="Normal"/>
    <w:qFormat/>
    <w:rsid w:val="00BD5924"/>
    <w:pPr>
      <w:keepNext/>
      <w:spacing w:line="280" w:lineRule="atLeast"/>
      <w:outlineLvl w:val="6"/>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D59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E732FF"/>
    <w:rPr>
      <w:sz w:val="16"/>
      <w:szCs w:val="16"/>
    </w:rPr>
  </w:style>
  <w:style w:type="paragraph" w:styleId="CommentText">
    <w:name w:val="annotation text"/>
    <w:basedOn w:val="Normal"/>
    <w:semiHidden/>
    <w:rsid w:val="00E732FF"/>
    <w:rPr>
      <w:sz w:val="20"/>
      <w:szCs w:val="20"/>
    </w:rPr>
  </w:style>
  <w:style w:type="paragraph" w:styleId="CommentSubject">
    <w:name w:val="annotation subject"/>
    <w:basedOn w:val="CommentText"/>
    <w:next w:val="CommentText"/>
    <w:semiHidden/>
    <w:rsid w:val="00E732FF"/>
    <w:rPr>
      <w:b/>
      <w:bCs/>
    </w:rPr>
  </w:style>
  <w:style w:type="paragraph" w:styleId="BalloonText">
    <w:name w:val="Balloon Text"/>
    <w:basedOn w:val="Normal"/>
    <w:semiHidden/>
    <w:rsid w:val="00E732FF"/>
    <w:rPr>
      <w:rFonts w:ascii="Tahoma" w:hAnsi="Tahoma" w:cs="Tahoma"/>
      <w:sz w:val="16"/>
      <w:szCs w:val="16"/>
    </w:rPr>
  </w:style>
  <w:style w:type="paragraph" w:styleId="DocumentMap">
    <w:name w:val="Document Map"/>
    <w:basedOn w:val="Normal"/>
    <w:semiHidden/>
    <w:rsid w:val="0035288D"/>
    <w:pPr>
      <w:shd w:val="clear" w:color="auto" w:fill="000080"/>
    </w:pPr>
    <w:rPr>
      <w:rFonts w:ascii="Tahoma" w:hAnsi="Tahoma" w:cs="Tahoma"/>
      <w:sz w:val="20"/>
      <w:szCs w:val="20"/>
    </w:rPr>
  </w:style>
  <w:style w:type="paragraph" w:styleId="Header">
    <w:name w:val="header"/>
    <w:basedOn w:val="Normal"/>
    <w:rsid w:val="00C56F12"/>
    <w:pPr>
      <w:tabs>
        <w:tab w:val="center" w:pos="4536"/>
        <w:tab w:val="right" w:pos="9072"/>
      </w:tabs>
    </w:pPr>
  </w:style>
  <w:style w:type="paragraph" w:styleId="Footer">
    <w:name w:val="footer"/>
    <w:basedOn w:val="Normal"/>
    <w:rsid w:val="00C56F12"/>
    <w:pPr>
      <w:tabs>
        <w:tab w:val="center" w:pos="4536"/>
        <w:tab w:val="right" w:pos="9072"/>
      </w:tabs>
    </w:pPr>
  </w:style>
  <w:style w:type="paragraph" w:styleId="EndnoteText">
    <w:name w:val="endnote text"/>
    <w:basedOn w:val="Normal"/>
    <w:semiHidden/>
    <w:rsid w:val="00C56F12"/>
    <w:rPr>
      <w:sz w:val="20"/>
      <w:szCs w:val="20"/>
    </w:rPr>
  </w:style>
  <w:style w:type="character" w:styleId="EndnoteReference">
    <w:name w:val="endnote reference"/>
    <w:basedOn w:val="DefaultParagraphFont"/>
    <w:semiHidden/>
    <w:rsid w:val="00C56F12"/>
    <w:rPr>
      <w:vertAlign w:val="superscript"/>
    </w:rPr>
  </w:style>
  <w:style w:type="paragraph" w:styleId="FootnoteText">
    <w:name w:val="footnote text"/>
    <w:basedOn w:val="Normal"/>
    <w:semiHidden/>
    <w:rsid w:val="001942F4"/>
    <w:rPr>
      <w:sz w:val="20"/>
      <w:szCs w:val="20"/>
    </w:rPr>
  </w:style>
  <w:style w:type="character" w:styleId="FootnoteReference">
    <w:name w:val="footnote reference"/>
    <w:basedOn w:val="DefaultParagraphFont"/>
    <w:semiHidden/>
    <w:rsid w:val="001942F4"/>
    <w:rPr>
      <w:vertAlign w:val="superscript"/>
    </w:rPr>
  </w:style>
  <w:style w:type="paragraph" w:styleId="List2">
    <w:name w:val="List 2"/>
    <w:basedOn w:val="Normal"/>
    <w:rsid w:val="00B41C97"/>
    <w:pPr>
      <w:ind w:left="720" w:hanging="360"/>
      <w:jc w:val="left"/>
    </w:pPr>
    <w:rPr>
      <w:sz w:val="20"/>
      <w:szCs w:val="20"/>
      <w:lang w:eastAsia="en-US"/>
    </w:rPr>
  </w:style>
  <w:style w:type="paragraph" w:customStyle="1" w:styleId="P1">
    <w:name w:val="P1"/>
    <w:basedOn w:val="Normal"/>
    <w:rsid w:val="00803DD6"/>
    <w:pPr>
      <w:jc w:val="left"/>
    </w:pPr>
    <w:rPr>
      <w:lang w:eastAsia="en-US"/>
    </w:rPr>
  </w:style>
  <w:style w:type="paragraph" w:styleId="BodyText">
    <w:name w:val="Body Text"/>
    <w:basedOn w:val="Normal"/>
    <w:rsid w:val="00133F40"/>
    <w:rPr>
      <w:szCs w:val="20"/>
      <w:lang w:eastAsia="en-US"/>
    </w:rPr>
  </w:style>
  <w:style w:type="paragraph" w:styleId="BodyText3">
    <w:name w:val="Body Text 3"/>
    <w:basedOn w:val="Normal"/>
    <w:rsid w:val="00B225C2"/>
    <w:pPr>
      <w:spacing w:after="120"/>
    </w:pPr>
    <w:rPr>
      <w:sz w:val="16"/>
      <w:szCs w:val="16"/>
    </w:rPr>
  </w:style>
  <w:style w:type="paragraph" w:customStyle="1" w:styleId="CharChar1">
    <w:name w:val="Char Char1"/>
    <w:basedOn w:val="Normal"/>
    <w:rsid w:val="00A36808"/>
    <w:pPr>
      <w:jc w:val="left"/>
    </w:pPr>
    <w:rPr>
      <w:sz w:val="20"/>
      <w:szCs w:val="20"/>
      <w:lang w:val="en-US" w:eastAsia="en-US"/>
    </w:rPr>
  </w:style>
  <w:style w:type="paragraph" w:styleId="BodyTextIndent">
    <w:name w:val="Body Text Indent"/>
    <w:basedOn w:val="Normal"/>
    <w:rsid w:val="00732187"/>
    <w:pPr>
      <w:spacing w:after="120"/>
      <w:ind w:left="283"/>
    </w:pPr>
  </w:style>
  <w:style w:type="paragraph" w:customStyle="1" w:styleId="CharCharChar">
    <w:name w:val="Char Char Char"/>
    <w:basedOn w:val="Normal"/>
    <w:rsid w:val="00CB0B6C"/>
    <w:pPr>
      <w:jc w:val="left"/>
    </w:pPr>
    <w:rPr>
      <w:sz w:val="20"/>
      <w:szCs w:val="20"/>
      <w:lang w:val="en-US" w:eastAsia="en-US"/>
    </w:rPr>
  </w:style>
  <w:style w:type="character" w:styleId="Hyperlink">
    <w:name w:val="Hyperlink"/>
    <w:basedOn w:val="DefaultParagraphFont"/>
    <w:rsid w:val="00651B18"/>
    <w:rPr>
      <w:color w:val="0000FF"/>
      <w:u w:val="single"/>
    </w:rPr>
  </w:style>
  <w:style w:type="paragraph" w:customStyle="1" w:styleId="Default">
    <w:name w:val="Default"/>
    <w:rsid w:val="00F20762"/>
    <w:pPr>
      <w:autoSpaceDE w:val="0"/>
      <w:autoSpaceDN w:val="0"/>
      <w:adjustRightInd w:val="0"/>
    </w:pPr>
    <w:rPr>
      <w:rFonts w:ascii="Arial" w:hAnsi="Arial" w:cs="Arial"/>
      <w:color w:val="000000"/>
      <w:sz w:val="24"/>
      <w:szCs w:val="24"/>
      <w:lang w:val="en-US" w:eastAsia="en-US"/>
    </w:rPr>
  </w:style>
  <w:style w:type="table" w:styleId="TableGrid7">
    <w:name w:val="Table Grid 7"/>
    <w:basedOn w:val="TableNormal"/>
    <w:rsid w:val="00E476E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0F7F"/>
    <w:pPr>
      <w:jc w:val="both"/>
    </w:pPr>
    <w:rPr>
      <w:sz w:val="24"/>
      <w:szCs w:val="24"/>
    </w:rPr>
  </w:style>
  <w:style w:type="paragraph" w:styleId="Heading1">
    <w:name w:val="heading 1"/>
    <w:basedOn w:val="Normal"/>
    <w:next w:val="Normal"/>
    <w:qFormat/>
    <w:rsid w:val="00BD5924"/>
    <w:pPr>
      <w:keepNext/>
      <w:outlineLvl w:val="0"/>
    </w:pPr>
    <w:rPr>
      <w:rFonts w:cs="Arial"/>
      <w:b/>
      <w:bCs/>
      <w:sz w:val="32"/>
      <w:szCs w:val="32"/>
    </w:rPr>
  </w:style>
  <w:style w:type="paragraph" w:styleId="Heading2">
    <w:name w:val="heading 2"/>
    <w:basedOn w:val="Normal"/>
    <w:next w:val="Normal"/>
    <w:qFormat/>
    <w:rsid w:val="00BD5924"/>
    <w:pPr>
      <w:keepNext/>
      <w:outlineLvl w:val="1"/>
    </w:pPr>
    <w:rPr>
      <w:rFonts w:cs="Arial"/>
      <w:b/>
      <w:bCs/>
      <w:iCs/>
      <w:sz w:val="28"/>
      <w:szCs w:val="28"/>
    </w:rPr>
  </w:style>
  <w:style w:type="paragraph" w:styleId="Heading3">
    <w:name w:val="heading 3"/>
    <w:basedOn w:val="Normal"/>
    <w:next w:val="Normal"/>
    <w:qFormat/>
    <w:rsid w:val="00BD5924"/>
    <w:pPr>
      <w:keepNext/>
      <w:outlineLvl w:val="2"/>
    </w:pPr>
    <w:rPr>
      <w:rFonts w:cs="Arial"/>
      <w:b/>
      <w:bCs/>
      <w:sz w:val="26"/>
      <w:szCs w:val="26"/>
    </w:rPr>
  </w:style>
  <w:style w:type="paragraph" w:styleId="Heading4">
    <w:name w:val="heading 4"/>
    <w:basedOn w:val="Normal"/>
    <w:next w:val="Normal"/>
    <w:qFormat/>
    <w:rsid w:val="006523AB"/>
    <w:pPr>
      <w:keepNext/>
      <w:outlineLvl w:val="3"/>
    </w:pPr>
    <w:rPr>
      <w:b/>
    </w:rPr>
  </w:style>
  <w:style w:type="paragraph" w:styleId="Heading5">
    <w:name w:val="heading 5"/>
    <w:basedOn w:val="Normal"/>
    <w:next w:val="Normal"/>
    <w:qFormat/>
    <w:rsid w:val="006523AB"/>
    <w:pPr>
      <w:keepNext/>
      <w:outlineLvl w:val="4"/>
    </w:pPr>
  </w:style>
  <w:style w:type="paragraph" w:styleId="Heading7">
    <w:name w:val="heading 7"/>
    <w:basedOn w:val="Normal"/>
    <w:next w:val="Normal"/>
    <w:qFormat/>
    <w:rsid w:val="00BD5924"/>
    <w:pPr>
      <w:keepNext/>
      <w:spacing w:line="280" w:lineRule="atLeast"/>
      <w:outlineLvl w:val="6"/>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D59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E732FF"/>
    <w:rPr>
      <w:sz w:val="16"/>
      <w:szCs w:val="16"/>
    </w:rPr>
  </w:style>
  <w:style w:type="paragraph" w:styleId="CommentText">
    <w:name w:val="annotation text"/>
    <w:basedOn w:val="Normal"/>
    <w:semiHidden/>
    <w:rsid w:val="00E732FF"/>
    <w:rPr>
      <w:sz w:val="20"/>
      <w:szCs w:val="20"/>
    </w:rPr>
  </w:style>
  <w:style w:type="paragraph" w:styleId="CommentSubject">
    <w:name w:val="annotation subject"/>
    <w:basedOn w:val="CommentText"/>
    <w:next w:val="CommentText"/>
    <w:semiHidden/>
    <w:rsid w:val="00E732FF"/>
    <w:rPr>
      <w:b/>
      <w:bCs/>
    </w:rPr>
  </w:style>
  <w:style w:type="paragraph" w:styleId="BalloonText">
    <w:name w:val="Balloon Text"/>
    <w:basedOn w:val="Normal"/>
    <w:semiHidden/>
    <w:rsid w:val="00E732FF"/>
    <w:rPr>
      <w:rFonts w:ascii="Tahoma" w:hAnsi="Tahoma" w:cs="Tahoma"/>
      <w:sz w:val="16"/>
      <w:szCs w:val="16"/>
    </w:rPr>
  </w:style>
  <w:style w:type="paragraph" w:styleId="DocumentMap">
    <w:name w:val="Document Map"/>
    <w:basedOn w:val="Normal"/>
    <w:semiHidden/>
    <w:rsid w:val="0035288D"/>
    <w:pPr>
      <w:shd w:val="clear" w:color="auto" w:fill="000080"/>
    </w:pPr>
    <w:rPr>
      <w:rFonts w:ascii="Tahoma" w:hAnsi="Tahoma" w:cs="Tahoma"/>
      <w:sz w:val="20"/>
      <w:szCs w:val="20"/>
    </w:rPr>
  </w:style>
  <w:style w:type="paragraph" w:styleId="Header">
    <w:name w:val="header"/>
    <w:basedOn w:val="Normal"/>
    <w:rsid w:val="00C56F12"/>
    <w:pPr>
      <w:tabs>
        <w:tab w:val="center" w:pos="4536"/>
        <w:tab w:val="right" w:pos="9072"/>
      </w:tabs>
    </w:pPr>
  </w:style>
  <w:style w:type="paragraph" w:styleId="Footer">
    <w:name w:val="footer"/>
    <w:basedOn w:val="Normal"/>
    <w:rsid w:val="00C56F12"/>
    <w:pPr>
      <w:tabs>
        <w:tab w:val="center" w:pos="4536"/>
        <w:tab w:val="right" w:pos="9072"/>
      </w:tabs>
    </w:pPr>
  </w:style>
  <w:style w:type="paragraph" w:styleId="EndnoteText">
    <w:name w:val="endnote text"/>
    <w:basedOn w:val="Normal"/>
    <w:semiHidden/>
    <w:rsid w:val="00C56F12"/>
    <w:rPr>
      <w:sz w:val="20"/>
      <w:szCs w:val="20"/>
    </w:rPr>
  </w:style>
  <w:style w:type="character" w:styleId="EndnoteReference">
    <w:name w:val="endnote reference"/>
    <w:basedOn w:val="DefaultParagraphFont"/>
    <w:semiHidden/>
    <w:rsid w:val="00C56F12"/>
    <w:rPr>
      <w:vertAlign w:val="superscript"/>
    </w:rPr>
  </w:style>
  <w:style w:type="paragraph" w:styleId="FootnoteText">
    <w:name w:val="footnote text"/>
    <w:basedOn w:val="Normal"/>
    <w:semiHidden/>
    <w:rsid w:val="001942F4"/>
    <w:rPr>
      <w:sz w:val="20"/>
      <w:szCs w:val="20"/>
    </w:rPr>
  </w:style>
  <w:style w:type="character" w:styleId="FootnoteReference">
    <w:name w:val="footnote reference"/>
    <w:basedOn w:val="DefaultParagraphFont"/>
    <w:semiHidden/>
    <w:rsid w:val="001942F4"/>
    <w:rPr>
      <w:vertAlign w:val="superscript"/>
    </w:rPr>
  </w:style>
  <w:style w:type="paragraph" w:styleId="List2">
    <w:name w:val="List 2"/>
    <w:basedOn w:val="Normal"/>
    <w:rsid w:val="00B41C97"/>
    <w:pPr>
      <w:ind w:left="720" w:hanging="360"/>
      <w:jc w:val="left"/>
    </w:pPr>
    <w:rPr>
      <w:sz w:val="20"/>
      <w:szCs w:val="20"/>
      <w:lang w:eastAsia="en-US"/>
    </w:rPr>
  </w:style>
  <w:style w:type="paragraph" w:customStyle="1" w:styleId="P1">
    <w:name w:val="P1"/>
    <w:basedOn w:val="Normal"/>
    <w:rsid w:val="00803DD6"/>
    <w:pPr>
      <w:jc w:val="left"/>
    </w:pPr>
    <w:rPr>
      <w:lang w:eastAsia="en-US"/>
    </w:rPr>
  </w:style>
  <w:style w:type="paragraph" w:styleId="BodyText">
    <w:name w:val="Body Text"/>
    <w:basedOn w:val="Normal"/>
    <w:rsid w:val="00133F40"/>
    <w:rPr>
      <w:szCs w:val="20"/>
      <w:lang w:eastAsia="en-US"/>
    </w:rPr>
  </w:style>
  <w:style w:type="paragraph" w:styleId="BodyText3">
    <w:name w:val="Body Text 3"/>
    <w:basedOn w:val="Normal"/>
    <w:rsid w:val="00B225C2"/>
    <w:pPr>
      <w:spacing w:after="120"/>
    </w:pPr>
    <w:rPr>
      <w:sz w:val="16"/>
      <w:szCs w:val="16"/>
    </w:rPr>
  </w:style>
  <w:style w:type="paragraph" w:customStyle="1" w:styleId="CharChar1">
    <w:name w:val="Char Char1"/>
    <w:basedOn w:val="Normal"/>
    <w:rsid w:val="00A36808"/>
    <w:pPr>
      <w:jc w:val="left"/>
    </w:pPr>
    <w:rPr>
      <w:sz w:val="20"/>
      <w:szCs w:val="20"/>
      <w:lang w:val="en-US" w:eastAsia="en-US"/>
    </w:rPr>
  </w:style>
  <w:style w:type="paragraph" w:styleId="BodyTextIndent">
    <w:name w:val="Body Text Indent"/>
    <w:basedOn w:val="Normal"/>
    <w:rsid w:val="00732187"/>
    <w:pPr>
      <w:spacing w:after="120"/>
      <w:ind w:left="283"/>
    </w:pPr>
  </w:style>
  <w:style w:type="paragraph" w:customStyle="1" w:styleId="CharCharChar">
    <w:name w:val="Char Char Char"/>
    <w:basedOn w:val="Normal"/>
    <w:rsid w:val="00CB0B6C"/>
    <w:pPr>
      <w:jc w:val="left"/>
    </w:pPr>
    <w:rPr>
      <w:sz w:val="20"/>
      <w:szCs w:val="20"/>
      <w:lang w:val="en-US" w:eastAsia="en-US"/>
    </w:rPr>
  </w:style>
  <w:style w:type="character" w:styleId="Hyperlink">
    <w:name w:val="Hyperlink"/>
    <w:basedOn w:val="DefaultParagraphFont"/>
    <w:rsid w:val="00651B18"/>
    <w:rPr>
      <w:color w:val="0000FF"/>
      <w:u w:val="single"/>
    </w:rPr>
  </w:style>
  <w:style w:type="paragraph" w:customStyle="1" w:styleId="Default">
    <w:name w:val="Default"/>
    <w:rsid w:val="00F20762"/>
    <w:pPr>
      <w:autoSpaceDE w:val="0"/>
      <w:autoSpaceDN w:val="0"/>
      <w:adjustRightInd w:val="0"/>
    </w:pPr>
    <w:rPr>
      <w:rFonts w:ascii="Arial" w:hAnsi="Arial" w:cs="Arial"/>
      <w:color w:val="000000"/>
      <w:sz w:val="24"/>
      <w:szCs w:val="24"/>
      <w:lang w:val="en-US" w:eastAsia="en-US"/>
    </w:rPr>
  </w:style>
  <w:style w:type="table" w:styleId="TableGrid7">
    <w:name w:val="Table Grid 7"/>
    <w:basedOn w:val="TableNormal"/>
    <w:rsid w:val="00E476E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421808">
      <w:bodyDiv w:val="1"/>
      <w:marLeft w:val="0"/>
      <w:marRight w:val="0"/>
      <w:marTop w:val="0"/>
      <w:marBottom w:val="0"/>
      <w:divBdr>
        <w:top w:val="none" w:sz="0" w:space="0" w:color="auto"/>
        <w:left w:val="none" w:sz="0" w:space="0" w:color="auto"/>
        <w:bottom w:val="none" w:sz="0" w:space="0" w:color="auto"/>
        <w:right w:val="none" w:sz="0" w:space="0" w:color="auto"/>
      </w:divBdr>
    </w:div>
    <w:div w:id="952789889">
      <w:bodyDiv w:val="1"/>
      <w:marLeft w:val="0"/>
      <w:marRight w:val="0"/>
      <w:marTop w:val="0"/>
      <w:marBottom w:val="0"/>
      <w:divBdr>
        <w:top w:val="none" w:sz="0" w:space="0" w:color="auto"/>
        <w:left w:val="none" w:sz="0" w:space="0" w:color="auto"/>
        <w:bottom w:val="none" w:sz="0" w:space="0" w:color="auto"/>
        <w:right w:val="none" w:sz="0" w:space="0" w:color="auto"/>
      </w:divBdr>
    </w:div>
    <w:div w:id="166547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gib.gov.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5232</Words>
  <Characters>29825</Characters>
  <Application>Microsoft Office Word</Application>
  <DocSecurity>4</DocSecurity>
  <Lines>248</Lines>
  <Paragraphs>69</Paragraphs>
  <ScaleCrop>false</ScaleCrop>
  <Company>BNP Paribas</Company>
  <LinksUpToDate>false</LinksUpToDate>
  <CharactersWithSpaces>34988</CharactersWithSpaces>
  <SharedDoc>false</SharedDoc>
  <HLinks>
    <vt:vector size="6" baseType="variant">
      <vt:variant>
        <vt:i4>6553636</vt:i4>
      </vt:variant>
      <vt:variant>
        <vt:i4>0</vt:i4>
      </vt:variant>
      <vt:variant>
        <vt:i4>0</vt:i4>
      </vt:variant>
      <vt:variant>
        <vt:i4>5</vt:i4>
      </vt:variant>
      <vt:variant>
        <vt:lpwstr>http://www.gib.gov.tr/</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2016-11-25T08:43:00Z</dcterms:created>
  <dcterms:modified xsi:type="dcterms:W3CDTF">2016-11-25T08:43:00Z</dcterms:modified>
</cp:coreProperties>
</file>